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Garamond" w:eastAsiaTheme="majorEastAsia" w:hAnsi="Garamond" w:cstheme="majorBidi"/>
          <w:caps/>
          <w:color w:val="000000"/>
          <w:sz w:val="24"/>
          <w:szCs w:val="24"/>
          <w:lang w:val="es-MX" w:eastAsia="es-MX"/>
        </w:rPr>
        <w:id w:val="35623874"/>
        <w:docPartObj>
          <w:docPartGallery w:val="Cover Pages"/>
          <w:docPartUnique/>
        </w:docPartObj>
      </w:sdtPr>
      <w:sdtEndPr>
        <w:rPr>
          <w:rFonts w:eastAsiaTheme="minorHAnsi" w:cstheme="minorBidi"/>
          <w:b/>
          <w:caps w:val="0"/>
          <w:color w:val="auto"/>
          <w:lang w:eastAsia="en-US"/>
        </w:rPr>
      </w:sdtEndPr>
      <w:sdtContent>
        <w:tbl>
          <w:tblPr>
            <w:tblW w:w="5000" w:type="pct"/>
            <w:jc w:val="center"/>
            <w:tblLook w:val="04A0"/>
          </w:tblPr>
          <w:tblGrid>
            <w:gridCol w:w="9054"/>
          </w:tblGrid>
          <w:tr w:rsidR="004A7880" w:rsidRPr="00093E98" w:rsidTr="00930657">
            <w:trPr>
              <w:trHeight w:val="2880"/>
              <w:jc w:val="center"/>
            </w:trPr>
            <w:tc>
              <w:tcPr>
                <w:tcW w:w="5000" w:type="pct"/>
              </w:tcPr>
              <w:p w:rsidR="004A7880" w:rsidRPr="00093E98" w:rsidRDefault="004A7880" w:rsidP="00093E98">
                <w:pPr>
                  <w:pStyle w:val="Sinespaciado"/>
                  <w:spacing w:line="276" w:lineRule="auto"/>
                  <w:jc w:val="center"/>
                  <w:rPr>
                    <w:rFonts w:ascii="Garamond" w:eastAsiaTheme="majorEastAsia" w:hAnsi="Garamond" w:cstheme="majorBidi"/>
                    <w:caps/>
                    <w:sz w:val="24"/>
                    <w:szCs w:val="24"/>
                  </w:rPr>
                </w:pPr>
              </w:p>
            </w:tc>
          </w:tr>
          <w:tr w:rsidR="004A7880" w:rsidRPr="00093E98" w:rsidTr="00930657">
            <w:trPr>
              <w:trHeight w:val="1440"/>
              <w:jc w:val="center"/>
            </w:trPr>
            <w:tc>
              <w:tcPr>
                <w:tcW w:w="5000" w:type="pct"/>
                <w:tcBorders>
                  <w:bottom w:val="single" w:sz="4" w:space="0" w:color="4F81BD" w:themeColor="accent1"/>
                </w:tcBorders>
                <w:vAlign w:val="center"/>
              </w:tcPr>
              <w:p w:rsidR="00093E98" w:rsidRPr="00093E98" w:rsidRDefault="004A7880" w:rsidP="00093E98">
                <w:pPr>
                  <w:pStyle w:val="Sinespaciado"/>
                  <w:spacing w:line="276" w:lineRule="auto"/>
                  <w:jc w:val="center"/>
                  <w:rPr>
                    <w:rFonts w:ascii="Garamond" w:hAnsi="Garamond"/>
                    <w:b/>
                    <w:sz w:val="32"/>
                    <w:szCs w:val="24"/>
                    <w:lang w:val="es-MX"/>
                  </w:rPr>
                </w:pPr>
                <w:r w:rsidRPr="00093E98">
                  <w:rPr>
                    <w:rFonts w:ascii="Garamond" w:hAnsi="Garamond"/>
                    <w:b/>
                    <w:sz w:val="32"/>
                    <w:szCs w:val="24"/>
                    <w:lang w:val="es-MX"/>
                  </w:rPr>
                  <w:t xml:space="preserve">MECANISMO DE SEGUIMIENTO </w:t>
                </w:r>
                <w:r w:rsidR="00093E98" w:rsidRPr="00093E98">
                  <w:rPr>
                    <w:rFonts w:ascii="Garamond" w:hAnsi="Garamond"/>
                    <w:b/>
                    <w:sz w:val="32"/>
                    <w:szCs w:val="24"/>
                    <w:lang w:val="es-MX"/>
                  </w:rPr>
                  <w:t xml:space="preserve">DEL MODELO ADMINISTRATIVO DE ACTUACIÓN PARA LA ATENCIÓN DE LA INICIATIVA </w:t>
                </w:r>
              </w:p>
              <w:p w:rsidR="004A7880" w:rsidRPr="00093E98" w:rsidRDefault="00093E98" w:rsidP="00093E98">
                <w:pPr>
                  <w:pStyle w:val="Sinespaciado"/>
                  <w:spacing w:line="276" w:lineRule="auto"/>
                  <w:jc w:val="center"/>
                  <w:rPr>
                    <w:rFonts w:ascii="Garamond" w:eastAsiaTheme="majorEastAsia" w:hAnsi="Garamond" w:cstheme="majorBidi"/>
                    <w:sz w:val="24"/>
                    <w:szCs w:val="24"/>
                  </w:rPr>
                </w:pPr>
                <w:r w:rsidRPr="00093E98">
                  <w:rPr>
                    <w:rFonts w:ascii="Garamond" w:hAnsi="Garamond"/>
                    <w:b/>
                    <w:sz w:val="32"/>
                    <w:szCs w:val="24"/>
                    <w:lang w:val="es-MX"/>
                  </w:rPr>
                  <w:t>“10XINFANCIA”</w:t>
                </w:r>
              </w:p>
            </w:tc>
          </w:tr>
          <w:tr w:rsidR="004A7880" w:rsidRPr="00093E98" w:rsidTr="00930657">
            <w:trPr>
              <w:trHeight w:val="720"/>
              <w:jc w:val="center"/>
            </w:trPr>
            <w:tc>
              <w:tcPr>
                <w:tcW w:w="5000" w:type="pct"/>
                <w:tcBorders>
                  <w:top w:val="single" w:sz="4" w:space="0" w:color="4F81BD" w:themeColor="accent1"/>
                </w:tcBorders>
                <w:vAlign w:val="center"/>
              </w:tcPr>
              <w:p w:rsidR="004A7880" w:rsidRPr="00093E98" w:rsidRDefault="004A7880" w:rsidP="00093E98">
                <w:pPr>
                  <w:pStyle w:val="Sinespaciado"/>
                  <w:spacing w:line="276" w:lineRule="auto"/>
                  <w:jc w:val="center"/>
                  <w:rPr>
                    <w:rFonts w:ascii="Garamond" w:eastAsiaTheme="majorEastAsia" w:hAnsi="Garamond" w:cstheme="majorBidi"/>
                    <w:sz w:val="24"/>
                    <w:szCs w:val="24"/>
                  </w:rPr>
                </w:pPr>
              </w:p>
            </w:tc>
          </w:tr>
          <w:tr w:rsidR="004A7880" w:rsidRPr="00093E98" w:rsidTr="00930657">
            <w:trPr>
              <w:trHeight w:val="360"/>
              <w:jc w:val="center"/>
            </w:trPr>
            <w:tc>
              <w:tcPr>
                <w:tcW w:w="5000" w:type="pct"/>
                <w:vAlign w:val="center"/>
              </w:tcPr>
              <w:p w:rsidR="004A7880" w:rsidRPr="00093E98" w:rsidRDefault="004A7880" w:rsidP="00093E98">
                <w:pPr>
                  <w:pStyle w:val="Sinespaciado"/>
                  <w:spacing w:line="276" w:lineRule="auto"/>
                  <w:jc w:val="center"/>
                  <w:rPr>
                    <w:rFonts w:ascii="Garamond" w:hAnsi="Garamond"/>
                    <w:sz w:val="24"/>
                    <w:szCs w:val="24"/>
                  </w:rPr>
                </w:pPr>
              </w:p>
            </w:tc>
          </w:tr>
          <w:tr w:rsidR="004A7880" w:rsidRPr="00093E98" w:rsidTr="00930657">
            <w:trPr>
              <w:trHeight w:val="360"/>
              <w:jc w:val="center"/>
            </w:trPr>
            <w:tc>
              <w:tcPr>
                <w:tcW w:w="5000" w:type="pct"/>
                <w:vAlign w:val="center"/>
              </w:tcPr>
              <w:p w:rsidR="004A7880" w:rsidRPr="00093E98" w:rsidRDefault="004A7880" w:rsidP="00093E98">
                <w:pPr>
                  <w:pStyle w:val="Sinespaciado"/>
                  <w:spacing w:line="276" w:lineRule="auto"/>
                  <w:jc w:val="center"/>
                  <w:rPr>
                    <w:rFonts w:ascii="Garamond" w:hAnsi="Garamond"/>
                    <w:b/>
                    <w:bCs/>
                    <w:sz w:val="24"/>
                    <w:szCs w:val="24"/>
                  </w:rPr>
                </w:pPr>
              </w:p>
            </w:tc>
          </w:tr>
          <w:tr w:rsidR="004A7880" w:rsidRPr="00093E98" w:rsidTr="00930657">
            <w:trPr>
              <w:trHeight w:val="360"/>
              <w:jc w:val="center"/>
            </w:trPr>
            <w:tc>
              <w:tcPr>
                <w:tcW w:w="5000" w:type="pct"/>
                <w:vAlign w:val="center"/>
              </w:tcPr>
              <w:p w:rsidR="004A7880" w:rsidRPr="00093E98" w:rsidRDefault="004A7880" w:rsidP="00093E98">
                <w:pPr>
                  <w:pStyle w:val="Sinespaciado"/>
                  <w:spacing w:line="276" w:lineRule="auto"/>
                  <w:jc w:val="center"/>
                  <w:rPr>
                    <w:rFonts w:ascii="Garamond" w:hAnsi="Garamond"/>
                    <w:b/>
                    <w:bCs/>
                    <w:sz w:val="24"/>
                    <w:szCs w:val="24"/>
                  </w:rPr>
                </w:pPr>
              </w:p>
            </w:tc>
          </w:tr>
        </w:tbl>
        <w:p w:rsidR="004A7880" w:rsidRPr="00093E98" w:rsidRDefault="004A7880" w:rsidP="00093E98">
          <w:pPr>
            <w:rPr>
              <w:rFonts w:ascii="Garamond" w:hAnsi="Garamond"/>
              <w:sz w:val="24"/>
              <w:szCs w:val="24"/>
              <w:lang w:val="es-ES"/>
            </w:rPr>
          </w:pPr>
        </w:p>
        <w:p w:rsidR="004A7880" w:rsidRPr="00093E98" w:rsidRDefault="004A7880" w:rsidP="00093E98">
          <w:pPr>
            <w:rPr>
              <w:rFonts w:ascii="Garamond" w:hAnsi="Garamond"/>
              <w:sz w:val="24"/>
              <w:szCs w:val="24"/>
              <w:lang w:val="es-ES"/>
            </w:rPr>
          </w:pPr>
        </w:p>
        <w:tbl>
          <w:tblPr>
            <w:tblpPr w:leftFromText="187" w:rightFromText="187" w:horzAnchor="margin" w:tblpXSpec="center" w:tblpYSpec="bottom"/>
            <w:tblW w:w="5000" w:type="pct"/>
            <w:tblLook w:val="04A0"/>
          </w:tblPr>
          <w:tblGrid>
            <w:gridCol w:w="9054"/>
          </w:tblGrid>
          <w:tr w:rsidR="004A7880" w:rsidRPr="00093E98" w:rsidTr="00930657">
            <w:tc>
              <w:tcPr>
                <w:tcW w:w="5000" w:type="pct"/>
              </w:tcPr>
              <w:p w:rsidR="004A7880" w:rsidRPr="00093E98" w:rsidRDefault="004A7880" w:rsidP="00093E98">
                <w:pPr>
                  <w:pStyle w:val="Sinespaciado"/>
                  <w:spacing w:line="276" w:lineRule="auto"/>
                  <w:rPr>
                    <w:rFonts w:ascii="Garamond" w:hAnsi="Garamond"/>
                    <w:sz w:val="24"/>
                    <w:szCs w:val="24"/>
                  </w:rPr>
                </w:pPr>
              </w:p>
            </w:tc>
          </w:tr>
        </w:tbl>
        <w:p w:rsidR="004A7880" w:rsidRPr="00093E98" w:rsidRDefault="004A7880" w:rsidP="00093E98">
          <w:pPr>
            <w:rPr>
              <w:rFonts w:ascii="Garamond" w:hAnsi="Garamond"/>
              <w:sz w:val="24"/>
              <w:szCs w:val="24"/>
              <w:lang w:val="es-ES"/>
            </w:rPr>
          </w:pPr>
        </w:p>
        <w:p w:rsidR="004A7880" w:rsidRPr="00093E98" w:rsidRDefault="004A7880" w:rsidP="00093E98">
          <w:pPr>
            <w:rPr>
              <w:rFonts w:ascii="Garamond" w:hAnsi="Garamond"/>
              <w:b/>
              <w:sz w:val="24"/>
              <w:szCs w:val="24"/>
            </w:rPr>
          </w:pPr>
          <w:r w:rsidRPr="00093E98">
            <w:rPr>
              <w:rFonts w:ascii="Garamond" w:hAnsi="Garamond"/>
              <w:b/>
              <w:noProof/>
              <w:sz w:val="24"/>
              <w:szCs w:val="24"/>
              <w:lang w:eastAsia="es-MX"/>
            </w:rPr>
            <w:drawing>
              <wp:anchor distT="0" distB="0" distL="114300" distR="114300" simplePos="0" relativeHeight="251665920" behindDoc="0" locked="0" layoutInCell="1" allowOverlap="1">
                <wp:simplePos x="0" y="0"/>
                <wp:positionH relativeFrom="column">
                  <wp:posOffset>1756410</wp:posOffset>
                </wp:positionH>
                <wp:positionV relativeFrom="paragraph">
                  <wp:posOffset>105410</wp:posOffset>
                </wp:positionV>
                <wp:extent cx="2265045" cy="1403350"/>
                <wp:effectExtent l="19050" t="0" r="1905" b="0"/>
                <wp:wrapNone/>
                <wp:docPr id="1" name="Imagen 1" descr="http://i.ytimg.com/vi/qbAProSxyQ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qbAProSxyQg/maxresdefault.jpg"/>
                        <pic:cNvPicPr>
                          <a:picLocks noChangeAspect="1" noChangeArrowheads="1"/>
                        </pic:cNvPicPr>
                      </pic:nvPicPr>
                      <pic:blipFill>
                        <a:blip r:embed="rId8" cstate="print"/>
                        <a:srcRect l="29629" t="28283" r="29969" b="27263"/>
                        <a:stretch>
                          <a:fillRect/>
                        </a:stretch>
                      </pic:blipFill>
                      <pic:spPr bwMode="auto">
                        <a:xfrm>
                          <a:off x="0" y="0"/>
                          <a:ext cx="2265045" cy="1403350"/>
                        </a:xfrm>
                        <a:prstGeom prst="rect">
                          <a:avLst/>
                        </a:prstGeom>
                        <a:noFill/>
                        <a:ln w="9525">
                          <a:noFill/>
                          <a:miter lim="800000"/>
                          <a:headEnd/>
                          <a:tailEnd/>
                        </a:ln>
                      </pic:spPr>
                    </pic:pic>
                  </a:graphicData>
                </a:graphic>
              </wp:anchor>
            </w:drawing>
          </w:r>
          <w:r w:rsidRPr="00093E98">
            <w:rPr>
              <w:rFonts w:ascii="Garamond" w:hAnsi="Garamond"/>
              <w:b/>
              <w:sz w:val="24"/>
              <w:szCs w:val="24"/>
            </w:rPr>
            <w:br w:type="page"/>
          </w:r>
        </w:p>
      </w:sdtContent>
    </w:sdt>
    <w:p w:rsidR="00093E98" w:rsidRPr="00017953" w:rsidRDefault="00675A87" w:rsidP="00C15C5D">
      <w:pPr>
        <w:spacing w:after="0"/>
        <w:jc w:val="center"/>
        <w:rPr>
          <w:rFonts w:ascii="Garamond" w:hAnsi="Garamond"/>
          <w:b/>
          <w:sz w:val="24"/>
        </w:rPr>
      </w:pPr>
      <w:r w:rsidRPr="00017953">
        <w:rPr>
          <w:rFonts w:ascii="Garamond" w:hAnsi="Garamond"/>
          <w:b/>
          <w:sz w:val="24"/>
        </w:rPr>
        <w:lastRenderedPageBreak/>
        <w:t xml:space="preserve">DESCRIPCIÓN DEL </w:t>
      </w:r>
      <w:r w:rsidR="00C15C5D" w:rsidRPr="00017953">
        <w:rPr>
          <w:rFonts w:ascii="Garamond" w:hAnsi="Garamond"/>
          <w:b/>
          <w:sz w:val="24"/>
        </w:rPr>
        <w:t xml:space="preserve">MECANISMO DE SEGUIMIENTO DE LA INICIATIVA </w:t>
      </w:r>
    </w:p>
    <w:p w:rsidR="00C15C5D" w:rsidRPr="00017953" w:rsidRDefault="00C15C5D" w:rsidP="00093E98">
      <w:pPr>
        <w:jc w:val="center"/>
        <w:rPr>
          <w:rFonts w:ascii="Garamond" w:hAnsi="Garamond"/>
          <w:b/>
          <w:sz w:val="24"/>
        </w:rPr>
      </w:pPr>
      <w:r w:rsidRPr="00017953">
        <w:rPr>
          <w:rFonts w:ascii="Garamond" w:hAnsi="Garamond"/>
          <w:b/>
          <w:sz w:val="24"/>
        </w:rPr>
        <w:t>“10XINFANCIA”</w:t>
      </w:r>
    </w:p>
    <w:p w:rsidR="00C15C5D" w:rsidRPr="0093482B" w:rsidRDefault="00C15C5D" w:rsidP="00C15C5D">
      <w:pPr>
        <w:spacing w:after="240"/>
        <w:jc w:val="both"/>
        <w:rPr>
          <w:rFonts w:ascii="Garamond" w:hAnsi="Garamond"/>
          <w:sz w:val="24"/>
          <w:szCs w:val="24"/>
        </w:rPr>
      </w:pPr>
      <w:r>
        <w:rPr>
          <w:rFonts w:ascii="Garamond" w:hAnsi="Garamond"/>
          <w:sz w:val="24"/>
        </w:rPr>
        <w:t>Los</w:t>
      </w:r>
      <w:r w:rsidR="00093E98" w:rsidRPr="002D1A7D">
        <w:rPr>
          <w:rFonts w:ascii="Garamond" w:hAnsi="Garamond"/>
          <w:sz w:val="24"/>
        </w:rPr>
        <w:t xml:space="preserve"> Gobierno</w:t>
      </w:r>
      <w:r>
        <w:rPr>
          <w:rFonts w:ascii="Garamond" w:hAnsi="Garamond"/>
          <w:sz w:val="24"/>
        </w:rPr>
        <w:t>s</w:t>
      </w:r>
      <w:r w:rsidR="00093E98" w:rsidRPr="002D1A7D">
        <w:rPr>
          <w:rFonts w:ascii="Garamond" w:hAnsi="Garamond"/>
          <w:sz w:val="24"/>
        </w:rPr>
        <w:t xml:space="preserve"> de la Ciudad de México ha</w:t>
      </w:r>
      <w:r>
        <w:rPr>
          <w:rFonts w:ascii="Garamond" w:hAnsi="Garamond"/>
          <w:sz w:val="24"/>
        </w:rPr>
        <w:t>n</w:t>
      </w:r>
      <w:r w:rsidR="00093E98" w:rsidRPr="002D1A7D">
        <w:rPr>
          <w:rFonts w:ascii="Garamond" w:hAnsi="Garamond"/>
          <w:sz w:val="24"/>
        </w:rPr>
        <w:t xml:space="preserve"> sido </w:t>
      </w:r>
      <w:r>
        <w:rPr>
          <w:rFonts w:ascii="Garamond" w:hAnsi="Garamond"/>
          <w:sz w:val="24"/>
        </w:rPr>
        <w:t xml:space="preserve">en los últimos lustros </w:t>
      </w:r>
      <w:r w:rsidR="00D979C8">
        <w:rPr>
          <w:rFonts w:ascii="Garamond" w:hAnsi="Garamond"/>
          <w:sz w:val="24"/>
        </w:rPr>
        <w:t xml:space="preserve">un </w:t>
      </w:r>
      <w:r w:rsidR="00093E98" w:rsidRPr="002D1A7D">
        <w:rPr>
          <w:rFonts w:ascii="Garamond" w:hAnsi="Garamond"/>
          <w:sz w:val="24"/>
        </w:rPr>
        <w:t xml:space="preserve">referente en la formulación e implementación de leyes, políticas públicas y programas innovadores que fomentan el respeto y garantía de los derechos humanos de los distintos grupos sociales, con énfasis en aquellos que presentan algún tipo de vulnerabilidad o discriminación. </w:t>
      </w:r>
      <w:r w:rsidRPr="0093482B">
        <w:rPr>
          <w:rFonts w:ascii="Garamond" w:hAnsi="Garamond"/>
          <w:sz w:val="24"/>
          <w:szCs w:val="24"/>
        </w:rPr>
        <w:t xml:space="preserve">En este sentido, </w:t>
      </w:r>
      <w:r>
        <w:rPr>
          <w:rFonts w:ascii="Garamond" w:hAnsi="Garamond"/>
          <w:sz w:val="24"/>
          <w:szCs w:val="24"/>
        </w:rPr>
        <w:t>se</w:t>
      </w:r>
      <w:r w:rsidRPr="0093482B">
        <w:rPr>
          <w:rFonts w:ascii="Garamond" w:hAnsi="Garamond"/>
          <w:sz w:val="24"/>
          <w:szCs w:val="24"/>
        </w:rPr>
        <w:t xml:space="preserve"> ha reiterado su compromiso por garantizar el goce y ejercicio de los derechos de las niñas, niños y adolescentes, muestra de ello son los instrumentos normativos y programáticos que se han diseñado para avanzar en el cumplimiento los derechos de la infancia y que han mantenido a la capital del país como una </w:t>
      </w:r>
      <w:r>
        <w:rPr>
          <w:rFonts w:ascii="Garamond" w:hAnsi="Garamond"/>
          <w:sz w:val="24"/>
          <w:szCs w:val="24"/>
        </w:rPr>
        <w:t xml:space="preserve">de las </w:t>
      </w:r>
      <w:r w:rsidRPr="0093482B">
        <w:rPr>
          <w:rFonts w:ascii="Garamond" w:hAnsi="Garamond"/>
          <w:sz w:val="24"/>
          <w:szCs w:val="24"/>
        </w:rPr>
        <w:t>entidad</w:t>
      </w:r>
      <w:r>
        <w:rPr>
          <w:rFonts w:ascii="Garamond" w:hAnsi="Garamond"/>
          <w:sz w:val="24"/>
          <w:szCs w:val="24"/>
        </w:rPr>
        <w:t>es</w:t>
      </w:r>
      <w:r w:rsidRPr="0093482B">
        <w:rPr>
          <w:rFonts w:ascii="Garamond" w:hAnsi="Garamond"/>
          <w:sz w:val="24"/>
          <w:szCs w:val="24"/>
        </w:rPr>
        <w:t xml:space="preserve"> con los mayores avances en materia de reconocimiento e incorporación de los derechos de grupos vulnerables y minoritarios a las políticas públicas.</w:t>
      </w:r>
    </w:p>
    <w:p w:rsidR="00093E98" w:rsidRDefault="00C15C5D" w:rsidP="00093E98">
      <w:pPr>
        <w:jc w:val="both"/>
        <w:rPr>
          <w:rFonts w:ascii="Garamond" w:hAnsi="Garamond" w:cs="Arial"/>
          <w:b/>
          <w:sz w:val="24"/>
          <w:szCs w:val="24"/>
        </w:rPr>
      </w:pPr>
      <w:r w:rsidRPr="0093482B">
        <w:rPr>
          <w:rFonts w:ascii="Garamond" w:hAnsi="Garamond"/>
          <w:sz w:val="24"/>
          <w:szCs w:val="24"/>
        </w:rPr>
        <w:t>En la actual administración, el Jefe de Gobierno de la Ciudad de México, Dr. Miguel Ángel Mancera Espinosa, ha incluido como uno de los temas prioritarios en la agenda de gobierno, el impulso a la garantía de los derechos de las niñas, niños y adolescentes.</w:t>
      </w:r>
      <w:r w:rsidR="00D979C8">
        <w:rPr>
          <w:rFonts w:ascii="Garamond" w:hAnsi="Garamond"/>
          <w:sz w:val="24"/>
          <w:szCs w:val="24"/>
        </w:rPr>
        <w:t xml:space="preserve"> Tal y como se ha visto reflejado en el </w:t>
      </w:r>
      <w:r w:rsidR="00D979C8" w:rsidRPr="0093482B">
        <w:rPr>
          <w:rFonts w:ascii="Garamond" w:hAnsi="Garamond"/>
          <w:sz w:val="24"/>
          <w:szCs w:val="24"/>
        </w:rPr>
        <w:t xml:space="preserve">Programa General de </w:t>
      </w:r>
      <w:r w:rsidR="00D979C8">
        <w:rPr>
          <w:rFonts w:ascii="Garamond" w:hAnsi="Garamond"/>
          <w:sz w:val="24"/>
          <w:szCs w:val="24"/>
        </w:rPr>
        <w:t>Desarrollo del Distrito Federal</w:t>
      </w:r>
      <w:r w:rsidR="00D979C8" w:rsidRPr="0093482B">
        <w:rPr>
          <w:rFonts w:ascii="Garamond" w:hAnsi="Garamond"/>
          <w:sz w:val="24"/>
          <w:szCs w:val="24"/>
        </w:rPr>
        <w:t xml:space="preserve"> 2013-2018</w:t>
      </w:r>
      <w:r w:rsidR="00D979C8">
        <w:rPr>
          <w:rFonts w:ascii="Garamond" w:hAnsi="Garamond"/>
          <w:sz w:val="24"/>
          <w:szCs w:val="24"/>
        </w:rPr>
        <w:t xml:space="preserve">, que enmarca </w:t>
      </w:r>
      <w:r w:rsidR="00D979C8" w:rsidRPr="0093482B">
        <w:rPr>
          <w:rFonts w:ascii="Garamond" w:hAnsi="Garamond"/>
          <w:sz w:val="24"/>
          <w:szCs w:val="24"/>
        </w:rPr>
        <w:t xml:space="preserve">54 líneas de acción </w:t>
      </w:r>
      <w:r w:rsidR="00D979C8">
        <w:rPr>
          <w:rFonts w:ascii="Garamond" w:hAnsi="Garamond"/>
          <w:sz w:val="24"/>
          <w:szCs w:val="24"/>
        </w:rPr>
        <w:t xml:space="preserve">dirigidas a la infancia, </w:t>
      </w:r>
      <w:r w:rsidR="00E77661">
        <w:rPr>
          <w:rFonts w:ascii="Garamond" w:hAnsi="Garamond"/>
          <w:sz w:val="24"/>
          <w:szCs w:val="24"/>
        </w:rPr>
        <w:t>integradas en</w:t>
      </w:r>
      <w:r w:rsidR="00D979C8" w:rsidRPr="0093482B">
        <w:rPr>
          <w:rFonts w:ascii="Garamond" w:hAnsi="Garamond"/>
          <w:sz w:val="24"/>
          <w:szCs w:val="24"/>
        </w:rPr>
        <w:t xml:space="preserve"> tres </w:t>
      </w:r>
      <w:r w:rsidR="00D979C8">
        <w:rPr>
          <w:rFonts w:ascii="Garamond" w:hAnsi="Garamond"/>
          <w:sz w:val="24"/>
          <w:szCs w:val="24"/>
        </w:rPr>
        <w:t xml:space="preserve">de sus </w:t>
      </w:r>
      <w:r w:rsidR="00D979C8" w:rsidRPr="0093482B">
        <w:rPr>
          <w:rFonts w:ascii="Garamond" w:hAnsi="Garamond"/>
          <w:sz w:val="24"/>
          <w:szCs w:val="24"/>
        </w:rPr>
        <w:t xml:space="preserve">ejes: el Eje I </w:t>
      </w:r>
      <w:r w:rsidR="00D979C8" w:rsidRPr="0093482B">
        <w:rPr>
          <w:rFonts w:ascii="Garamond" w:hAnsi="Garamond"/>
          <w:i/>
          <w:iCs/>
          <w:sz w:val="24"/>
          <w:szCs w:val="24"/>
        </w:rPr>
        <w:t xml:space="preserve">Desarrollo Social con Equidad e Inclusión, </w:t>
      </w:r>
      <w:r w:rsidR="00D979C8" w:rsidRPr="0093482B">
        <w:rPr>
          <w:rFonts w:ascii="Garamond" w:hAnsi="Garamond"/>
          <w:sz w:val="24"/>
          <w:szCs w:val="24"/>
        </w:rPr>
        <w:t xml:space="preserve">Eje II </w:t>
      </w:r>
      <w:r w:rsidR="00D979C8" w:rsidRPr="0093482B">
        <w:rPr>
          <w:rFonts w:ascii="Garamond" w:hAnsi="Garamond"/>
          <w:i/>
          <w:iCs/>
          <w:sz w:val="24"/>
          <w:szCs w:val="24"/>
        </w:rPr>
        <w:t xml:space="preserve">Gobernabilidad, Seguridad y Protección Ciudadana, </w:t>
      </w:r>
      <w:r w:rsidR="00D979C8" w:rsidRPr="0093482B">
        <w:rPr>
          <w:rFonts w:ascii="Garamond" w:hAnsi="Garamond"/>
          <w:sz w:val="24"/>
          <w:szCs w:val="24"/>
        </w:rPr>
        <w:t xml:space="preserve">y Eje IV </w:t>
      </w:r>
      <w:r w:rsidR="00D979C8" w:rsidRPr="0093482B">
        <w:rPr>
          <w:rFonts w:ascii="Garamond" w:hAnsi="Garamond"/>
          <w:i/>
          <w:iCs/>
          <w:sz w:val="24"/>
          <w:szCs w:val="24"/>
        </w:rPr>
        <w:t>Habitabilidad y Servicios, Espacio Público e Infraestructura</w:t>
      </w:r>
      <w:r w:rsidR="00D979C8" w:rsidRPr="0093482B">
        <w:rPr>
          <w:rFonts w:ascii="Garamond" w:hAnsi="Garamond"/>
          <w:sz w:val="24"/>
          <w:szCs w:val="24"/>
        </w:rPr>
        <w:t>.</w:t>
      </w:r>
    </w:p>
    <w:p w:rsidR="00C15C5D" w:rsidRPr="00093E98" w:rsidRDefault="00D979C8" w:rsidP="00C15C5D">
      <w:pPr>
        <w:jc w:val="both"/>
        <w:rPr>
          <w:rFonts w:ascii="Garamond" w:hAnsi="Garamond" w:cs="Arial"/>
          <w:sz w:val="24"/>
          <w:szCs w:val="24"/>
        </w:rPr>
      </w:pPr>
      <w:r>
        <w:rPr>
          <w:rFonts w:ascii="Garamond" w:hAnsi="Garamond" w:cs="Arial"/>
          <w:sz w:val="24"/>
          <w:szCs w:val="24"/>
        </w:rPr>
        <w:t>Con este mismo espíritu el</w:t>
      </w:r>
      <w:r w:rsidR="00093E98" w:rsidRPr="00093E98">
        <w:rPr>
          <w:rFonts w:ascii="Garamond" w:hAnsi="Garamond" w:cs="Arial"/>
          <w:sz w:val="24"/>
          <w:szCs w:val="24"/>
        </w:rPr>
        <w:t xml:space="preserve"> 22 de abril de 2013 el Gobierno de la Ciudad de</w:t>
      </w:r>
      <w:r>
        <w:rPr>
          <w:rFonts w:ascii="Garamond" w:hAnsi="Garamond" w:cs="Arial"/>
          <w:sz w:val="24"/>
          <w:szCs w:val="24"/>
        </w:rPr>
        <w:t xml:space="preserve"> México firmó su adhesión a la I</w:t>
      </w:r>
      <w:r w:rsidR="00093E98" w:rsidRPr="00093E98">
        <w:rPr>
          <w:rFonts w:ascii="Garamond" w:hAnsi="Garamond" w:cs="Arial"/>
          <w:sz w:val="24"/>
          <w:szCs w:val="24"/>
        </w:rPr>
        <w:t>niciativa “10X</w:t>
      </w:r>
      <w:r>
        <w:rPr>
          <w:rFonts w:ascii="Garamond" w:hAnsi="Garamond" w:cs="Arial"/>
          <w:sz w:val="24"/>
          <w:szCs w:val="24"/>
        </w:rPr>
        <w:t>I</w:t>
      </w:r>
      <w:r w:rsidR="00093E98" w:rsidRPr="00093E98">
        <w:rPr>
          <w:rFonts w:ascii="Garamond" w:hAnsi="Garamond" w:cs="Arial"/>
          <w:sz w:val="24"/>
          <w:szCs w:val="24"/>
        </w:rPr>
        <w:t>nfancia”</w:t>
      </w:r>
      <w:r>
        <w:rPr>
          <w:rFonts w:ascii="Garamond" w:hAnsi="Garamond" w:cs="Arial"/>
          <w:sz w:val="24"/>
          <w:szCs w:val="24"/>
        </w:rPr>
        <w:t>, impulsada por e</w:t>
      </w:r>
      <w:r w:rsidR="00C15C5D" w:rsidRPr="00093E98">
        <w:rPr>
          <w:rFonts w:ascii="Garamond" w:hAnsi="Garamond" w:cs="Arial"/>
          <w:sz w:val="24"/>
          <w:szCs w:val="24"/>
        </w:rPr>
        <w:t>l Fondo de las Naciones Unidas por la Infancia</w:t>
      </w:r>
      <w:r>
        <w:rPr>
          <w:rFonts w:ascii="Garamond" w:hAnsi="Garamond" w:cs="Arial"/>
          <w:sz w:val="24"/>
          <w:szCs w:val="24"/>
        </w:rPr>
        <w:t xml:space="preserve"> </w:t>
      </w:r>
      <w:r w:rsidRPr="00093E98">
        <w:rPr>
          <w:rFonts w:ascii="Garamond" w:hAnsi="Garamond" w:cs="Arial"/>
          <w:sz w:val="24"/>
          <w:szCs w:val="24"/>
        </w:rPr>
        <w:t>(UNICEF)</w:t>
      </w:r>
      <w:r w:rsidR="00C15C5D" w:rsidRPr="00093E98">
        <w:rPr>
          <w:rFonts w:ascii="Garamond" w:hAnsi="Garamond" w:cs="Arial"/>
          <w:sz w:val="24"/>
          <w:szCs w:val="24"/>
        </w:rPr>
        <w:t xml:space="preserve"> en México, su Consejo Consultivo y la Red por los Derechos de la Infancia en México (REDIM), </w:t>
      </w:r>
      <w:r>
        <w:rPr>
          <w:rFonts w:ascii="Garamond" w:hAnsi="Garamond" w:cs="Arial"/>
          <w:sz w:val="24"/>
          <w:szCs w:val="24"/>
        </w:rPr>
        <w:t xml:space="preserve">mediante la cual </w:t>
      </w:r>
      <w:r w:rsidR="00C15C5D" w:rsidRPr="00093E98">
        <w:rPr>
          <w:rFonts w:ascii="Garamond" w:hAnsi="Garamond" w:cs="Arial"/>
          <w:sz w:val="24"/>
          <w:szCs w:val="24"/>
        </w:rPr>
        <w:t xml:space="preserve">propusieron 10 medidas estratégicas para avanzar en la defensa de los derechos de las niñas, niños y adolescentes con el apoyo de las instituciones gubernamentales, los congresos locales y federal, y la sociedad civil a fin de cumplir a cabalidad con los principios establecidos en la Convención sobre los Derechos del Niño. </w:t>
      </w:r>
    </w:p>
    <w:p w:rsidR="00C15C5D" w:rsidRPr="00D979C8" w:rsidRDefault="00612A57" w:rsidP="00C15C5D">
      <w:pPr>
        <w:jc w:val="both"/>
        <w:rPr>
          <w:rFonts w:ascii="Garamond" w:hAnsi="Garamond" w:cs="Arial"/>
          <w:sz w:val="24"/>
          <w:szCs w:val="24"/>
        </w:rPr>
      </w:pPr>
      <w:r>
        <w:rPr>
          <w:rFonts w:ascii="Garamond" w:hAnsi="Garamond" w:cs="Arial"/>
          <w:bCs/>
          <w:sz w:val="24"/>
          <w:szCs w:val="24"/>
          <w:lang w:val="es-ES_tradnl"/>
        </w:rPr>
        <w:t xml:space="preserve">Los 10 puntos por </w:t>
      </w:r>
      <w:r w:rsidR="00C15C5D" w:rsidRPr="00D979C8">
        <w:rPr>
          <w:rFonts w:ascii="Garamond" w:hAnsi="Garamond" w:cs="Arial"/>
          <w:bCs/>
          <w:sz w:val="24"/>
          <w:szCs w:val="24"/>
          <w:lang w:val="es-ES_tradnl"/>
        </w:rPr>
        <w:t xml:space="preserve">las niñas, niños y adolescentes </w:t>
      </w:r>
      <w:r w:rsidR="00D979C8">
        <w:rPr>
          <w:rFonts w:ascii="Garamond" w:hAnsi="Garamond" w:cs="Arial"/>
          <w:bCs/>
          <w:sz w:val="24"/>
          <w:szCs w:val="24"/>
          <w:lang w:val="es-ES_tradnl"/>
        </w:rPr>
        <w:t>suscritas por el Jefe de Gobierno fueron</w:t>
      </w:r>
      <w:r w:rsidR="00C15C5D" w:rsidRPr="00D979C8">
        <w:rPr>
          <w:rFonts w:ascii="Garamond" w:hAnsi="Garamond" w:cs="Arial"/>
          <w:bCs/>
          <w:sz w:val="24"/>
          <w:szCs w:val="24"/>
          <w:lang w:val="es-ES_tradnl"/>
        </w:rPr>
        <w:t>:</w:t>
      </w:r>
      <w:r w:rsidR="00C15C5D" w:rsidRPr="00D979C8">
        <w:rPr>
          <w:rFonts w:ascii="Garamond" w:hAnsi="Garamond" w:cs="Arial"/>
          <w:sz w:val="24"/>
          <w:szCs w:val="24"/>
          <w:lang w:val="es-ES_tradnl"/>
        </w:rPr>
        <w:t xml:space="preserve"> </w:t>
      </w:r>
    </w:p>
    <w:p w:rsidR="00C15C5D" w:rsidRPr="00093E98" w:rsidRDefault="00D979C8" w:rsidP="00C15C5D">
      <w:pPr>
        <w:ind w:left="720"/>
        <w:jc w:val="both"/>
        <w:rPr>
          <w:rFonts w:ascii="Garamond" w:hAnsi="Garamond" w:cs="Arial"/>
          <w:sz w:val="24"/>
          <w:szCs w:val="24"/>
        </w:rPr>
      </w:pPr>
      <w:r>
        <w:rPr>
          <w:rFonts w:ascii="Garamond" w:hAnsi="Garamond" w:cs="Arial"/>
          <w:sz w:val="24"/>
          <w:szCs w:val="24"/>
          <w:lang w:val="es-ES_tradnl"/>
        </w:rPr>
        <w:t>1. Garantizar a todas la</w:t>
      </w:r>
      <w:r w:rsidR="00C15C5D" w:rsidRPr="00093E98">
        <w:rPr>
          <w:rFonts w:ascii="Garamond" w:hAnsi="Garamond" w:cs="Arial"/>
          <w:sz w:val="24"/>
          <w:szCs w:val="24"/>
          <w:lang w:val="es-ES_tradnl"/>
        </w:rPr>
        <w:t xml:space="preserve">s </w:t>
      </w:r>
      <w:r>
        <w:rPr>
          <w:rFonts w:ascii="Garamond" w:hAnsi="Garamond" w:cs="Arial"/>
          <w:sz w:val="24"/>
          <w:szCs w:val="24"/>
          <w:lang w:val="es-ES_tradnl"/>
        </w:rPr>
        <w:t xml:space="preserve">niñas y </w:t>
      </w:r>
      <w:r w:rsidR="00C15C5D" w:rsidRPr="00093E98">
        <w:rPr>
          <w:rFonts w:ascii="Garamond" w:hAnsi="Garamond" w:cs="Arial"/>
          <w:sz w:val="24"/>
          <w:szCs w:val="24"/>
          <w:lang w:val="es-ES_tradnl"/>
        </w:rPr>
        <w:t xml:space="preserve">niños </w:t>
      </w:r>
      <w:r w:rsidR="00C15C5D" w:rsidRPr="00093E98">
        <w:rPr>
          <w:rFonts w:ascii="Garamond" w:hAnsi="Garamond" w:cs="Arial"/>
          <w:b/>
          <w:bCs/>
          <w:sz w:val="24"/>
          <w:szCs w:val="24"/>
          <w:lang w:val="es-ES_tradnl"/>
        </w:rPr>
        <w:t>salud y nutrición</w:t>
      </w:r>
      <w:r w:rsidR="00C15C5D" w:rsidRPr="00093E98">
        <w:rPr>
          <w:rFonts w:ascii="Garamond" w:hAnsi="Garamond" w:cs="Arial"/>
          <w:sz w:val="24"/>
          <w:szCs w:val="24"/>
          <w:lang w:val="es-ES_tradnl"/>
        </w:rPr>
        <w:t xml:space="preserve"> adecuadas en la primera infancia para asegurar un buen comienzo en la vida.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2. Asegurar el </w:t>
      </w:r>
      <w:r w:rsidRPr="00093E98">
        <w:rPr>
          <w:rFonts w:ascii="Garamond" w:hAnsi="Garamond" w:cs="Arial"/>
          <w:b/>
          <w:bCs/>
          <w:sz w:val="24"/>
          <w:szCs w:val="24"/>
          <w:lang w:val="es-ES_tradnl"/>
        </w:rPr>
        <w:t>acceso a agua potable y alimentos saludables</w:t>
      </w:r>
      <w:r w:rsidRPr="00093E98">
        <w:rPr>
          <w:rFonts w:ascii="Garamond" w:hAnsi="Garamond" w:cs="Arial"/>
          <w:sz w:val="24"/>
          <w:szCs w:val="24"/>
          <w:lang w:val="es-ES_tradnl"/>
        </w:rPr>
        <w:t xml:space="preserve"> en todas las escuelas, así como estrategias educativas para una buena nutrición.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3. Otorgar </w:t>
      </w:r>
      <w:r w:rsidRPr="00093E98">
        <w:rPr>
          <w:rFonts w:ascii="Garamond" w:hAnsi="Garamond" w:cs="Arial"/>
          <w:b/>
          <w:bCs/>
          <w:sz w:val="24"/>
          <w:szCs w:val="24"/>
          <w:lang w:val="es-ES_tradnl"/>
        </w:rPr>
        <w:t xml:space="preserve">actas de nacimiento gratuitas </w:t>
      </w:r>
      <w:r w:rsidRPr="00093E98">
        <w:rPr>
          <w:rFonts w:ascii="Garamond" w:hAnsi="Garamond" w:cs="Arial"/>
          <w:sz w:val="24"/>
          <w:szCs w:val="24"/>
          <w:lang w:val="es-ES_tradnl"/>
        </w:rPr>
        <w:t xml:space="preserve">a todos los niños en su </w:t>
      </w:r>
      <w:r w:rsidRPr="00093E98">
        <w:rPr>
          <w:rFonts w:ascii="Garamond" w:hAnsi="Garamond" w:cs="Arial"/>
          <w:b/>
          <w:bCs/>
          <w:sz w:val="24"/>
          <w:szCs w:val="24"/>
          <w:lang w:val="es-ES_tradnl"/>
        </w:rPr>
        <w:t>primer año de vida.</w:t>
      </w:r>
      <w:r w:rsidRPr="00093E98">
        <w:rPr>
          <w:rFonts w:ascii="Garamond" w:hAnsi="Garamond" w:cs="Arial"/>
          <w:sz w:val="24"/>
          <w:szCs w:val="24"/>
          <w:lang w:val="es-ES_tradnl"/>
        </w:rPr>
        <w:t xml:space="preserve">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lastRenderedPageBreak/>
        <w:t xml:space="preserve">4. Garantizar una </w:t>
      </w:r>
      <w:r w:rsidRPr="00093E98">
        <w:rPr>
          <w:rFonts w:ascii="Garamond" w:hAnsi="Garamond" w:cs="Arial"/>
          <w:b/>
          <w:bCs/>
          <w:sz w:val="24"/>
          <w:szCs w:val="24"/>
          <w:lang w:val="es-ES_tradnl"/>
        </w:rPr>
        <w:t>educación de calidad</w:t>
      </w:r>
      <w:r w:rsidRPr="00093E98">
        <w:rPr>
          <w:rFonts w:ascii="Garamond" w:hAnsi="Garamond" w:cs="Arial"/>
          <w:sz w:val="24"/>
          <w:szCs w:val="24"/>
          <w:lang w:val="es-ES_tradnl"/>
        </w:rPr>
        <w:t xml:space="preserve"> para las niñas, niños y adolescentes, con especial atención a aquellos con alguna discapacidad.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5. Garantizar apoyos para que todos los adolescentes puedan </w:t>
      </w:r>
      <w:r w:rsidRPr="00093E98">
        <w:rPr>
          <w:rFonts w:ascii="Garamond" w:hAnsi="Garamond" w:cs="Arial"/>
          <w:b/>
          <w:bCs/>
          <w:sz w:val="24"/>
          <w:szCs w:val="24"/>
          <w:lang w:val="es-ES_tradnl"/>
        </w:rPr>
        <w:t>ingresar y terminar la escuela media superior</w:t>
      </w:r>
      <w:r w:rsidRPr="00093E98">
        <w:rPr>
          <w:rFonts w:ascii="Garamond" w:hAnsi="Garamond" w:cs="Arial"/>
          <w:sz w:val="24"/>
          <w:szCs w:val="24"/>
          <w:lang w:val="es-ES_tradnl"/>
        </w:rPr>
        <w:t xml:space="preserve">.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6. Abrir </w:t>
      </w:r>
      <w:r w:rsidRPr="00093E98">
        <w:rPr>
          <w:rFonts w:ascii="Garamond" w:hAnsi="Garamond" w:cs="Arial"/>
          <w:b/>
          <w:bCs/>
          <w:sz w:val="24"/>
          <w:szCs w:val="24"/>
          <w:lang w:val="es-ES_tradnl"/>
        </w:rPr>
        <w:t>espacios de participación</w:t>
      </w:r>
      <w:r w:rsidRPr="00093E98">
        <w:rPr>
          <w:rFonts w:ascii="Garamond" w:hAnsi="Garamond" w:cs="Arial"/>
          <w:sz w:val="24"/>
          <w:szCs w:val="24"/>
          <w:lang w:val="es-ES_tradnl"/>
        </w:rPr>
        <w:t xml:space="preserve"> para adolescentes </w:t>
      </w:r>
      <w:r w:rsidRPr="00093E98">
        <w:rPr>
          <w:rFonts w:ascii="Garamond" w:hAnsi="Garamond" w:cs="Arial"/>
          <w:b/>
          <w:bCs/>
          <w:sz w:val="24"/>
          <w:szCs w:val="24"/>
          <w:lang w:val="es-ES_tradnl"/>
        </w:rPr>
        <w:t>en la familia, la escuela y la comunidad.</w:t>
      </w:r>
      <w:r w:rsidRPr="00093E98">
        <w:rPr>
          <w:rFonts w:ascii="Garamond" w:hAnsi="Garamond" w:cs="Arial"/>
          <w:sz w:val="24"/>
          <w:szCs w:val="24"/>
          <w:lang w:val="es-ES_tradnl"/>
        </w:rPr>
        <w:t xml:space="preserve">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7. Asegurar que los adolescentes cuenten con </w:t>
      </w:r>
      <w:r w:rsidRPr="00093E98">
        <w:rPr>
          <w:rFonts w:ascii="Garamond" w:hAnsi="Garamond" w:cs="Arial"/>
          <w:b/>
          <w:bCs/>
          <w:sz w:val="24"/>
          <w:szCs w:val="24"/>
          <w:lang w:val="es-ES_tradnl"/>
        </w:rPr>
        <w:t>información y servicios de salud sexual y reproductiva</w:t>
      </w:r>
      <w:r w:rsidRPr="00093E98">
        <w:rPr>
          <w:rFonts w:ascii="Garamond" w:hAnsi="Garamond" w:cs="Arial"/>
          <w:sz w:val="24"/>
          <w:szCs w:val="24"/>
          <w:lang w:val="es-ES_tradnl"/>
        </w:rPr>
        <w:t xml:space="preserve"> para reducir los embarazos tempranos.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8. Impulsar la </w:t>
      </w:r>
      <w:r w:rsidRPr="00093E98">
        <w:rPr>
          <w:rFonts w:ascii="Garamond" w:hAnsi="Garamond" w:cs="Arial"/>
          <w:b/>
          <w:bCs/>
          <w:sz w:val="24"/>
          <w:szCs w:val="24"/>
          <w:lang w:val="es-ES_tradnl"/>
        </w:rPr>
        <w:t xml:space="preserve">Justicia para Adolescentes </w:t>
      </w:r>
      <w:r w:rsidRPr="00093E98">
        <w:rPr>
          <w:rFonts w:ascii="Garamond" w:hAnsi="Garamond" w:cs="Arial"/>
          <w:sz w:val="24"/>
          <w:szCs w:val="24"/>
          <w:lang w:val="es-ES_tradnl"/>
        </w:rPr>
        <w:t xml:space="preserve">y su efectiva implementación.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9. </w:t>
      </w:r>
      <w:r w:rsidRPr="00093E98">
        <w:rPr>
          <w:rFonts w:ascii="Garamond" w:hAnsi="Garamond" w:cs="Arial"/>
          <w:b/>
          <w:bCs/>
          <w:sz w:val="24"/>
          <w:szCs w:val="24"/>
          <w:lang w:val="es-ES_tradnl"/>
        </w:rPr>
        <w:t>Proteger a niños y adolescentes contra la violencia en la familia, la escuela y la comunidad</w:t>
      </w:r>
      <w:r w:rsidRPr="00093E98">
        <w:rPr>
          <w:rFonts w:ascii="Garamond" w:hAnsi="Garamond" w:cs="Arial"/>
          <w:sz w:val="24"/>
          <w:szCs w:val="24"/>
          <w:lang w:val="es-ES_tradnl"/>
        </w:rPr>
        <w:t xml:space="preserve">. </w:t>
      </w:r>
    </w:p>
    <w:p w:rsidR="00C15C5D" w:rsidRPr="00093E98" w:rsidRDefault="00C15C5D" w:rsidP="00C15C5D">
      <w:pPr>
        <w:ind w:left="720"/>
        <w:jc w:val="both"/>
        <w:rPr>
          <w:rFonts w:ascii="Garamond" w:hAnsi="Garamond" w:cs="Arial"/>
          <w:sz w:val="24"/>
          <w:szCs w:val="24"/>
        </w:rPr>
      </w:pPr>
      <w:r w:rsidRPr="00093E98">
        <w:rPr>
          <w:rFonts w:ascii="Garamond" w:hAnsi="Garamond" w:cs="Arial"/>
          <w:sz w:val="24"/>
          <w:szCs w:val="24"/>
          <w:lang w:val="es-ES_tradnl"/>
        </w:rPr>
        <w:t xml:space="preserve">10. </w:t>
      </w:r>
      <w:r w:rsidRPr="00093E98">
        <w:rPr>
          <w:rFonts w:ascii="Garamond" w:hAnsi="Garamond" w:cs="Arial"/>
          <w:b/>
          <w:bCs/>
          <w:sz w:val="24"/>
          <w:szCs w:val="24"/>
          <w:lang w:val="es-ES_tradnl"/>
        </w:rPr>
        <w:t>Presentar una iniciativa de Ley General sobre Derechos de la Infancia y la Adolescencia, que promueva proteja y garantice sus derechos</w:t>
      </w:r>
      <w:r w:rsidRPr="00093E98">
        <w:rPr>
          <w:rFonts w:ascii="Garamond" w:hAnsi="Garamond" w:cs="Arial"/>
          <w:sz w:val="24"/>
          <w:szCs w:val="24"/>
          <w:lang w:val="es-ES_tradnl"/>
        </w:rPr>
        <w:t xml:space="preserve">. </w:t>
      </w:r>
    </w:p>
    <w:p w:rsidR="00093E98" w:rsidRPr="00093E98" w:rsidRDefault="00675A87" w:rsidP="00093E98">
      <w:pPr>
        <w:jc w:val="both"/>
        <w:rPr>
          <w:rFonts w:ascii="Garamond" w:hAnsi="Garamond" w:cs="Arial"/>
          <w:sz w:val="24"/>
          <w:szCs w:val="24"/>
        </w:rPr>
      </w:pPr>
      <w:r>
        <w:rPr>
          <w:rFonts w:ascii="Garamond" w:hAnsi="Garamond" w:cs="Arial"/>
          <w:sz w:val="24"/>
          <w:szCs w:val="24"/>
        </w:rPr>
        <w:t>Como parte de estos compromisos asumidos, e</w:t>
      </w:r>
      <w:r w:rsidR="00093E98" w:rsidRPr="00093E98">
        <w:rPr>
          <w:rFonts w:ascii="Garamond" w:hAnsi="Garamond" w:cs="Arial"/>
          <w:sz w:val="24"/>
          <w:szCs w:val="24"/>
        </w:rPr>
        <w:t xml:space="preserve">l 29 de abril de 2014, el </w:t>
      </w:r>
      <w:r>
        <w:rPr>
          <w:rFonts w:ascii="Garamond" w:hAnsi="Garamond" w:cs="Arial"/>
          <w:sz w:val="24"/>
          <w:szCs w:val="24"/>
        </w:rPr>
        <w:t xml:space="preserve">Jefe de </w:t>
      </w:r>
      <w:r w:rsidR="00093E98" w:rsidRPr="00093E98">
        <w:rPr>
          <w:rFonts w:ascii="Garamond" w:hAnsi="Garamond" w:cs="Arial"/>
          <w:sz w:val="24"/>
          <w:szCs w:val="24"/>
        </w:rPr>
        <w:t>Gobierno del Distrito Federal</w:t>
      </w:r>
      <w:r>
        <w:rPr>
          <w:rFonts w:ascii="Garamond" w:hAnsi="Garamond" w:cs="Arial"/>
          <w:sz w:val="24"/>
          <w:szCs w:val="24"/>
        </w:rPr>
        <w:t xml:space="preserve">, en presencia de un amplio grupo de niñas, niños y adolescentes; de la representante de UNICEF en México, </w:t>
      </w:r>
      <w:r w:rsidRPr="00675A87">
        <w:rPr>
          <w:rFonts w:ascii="Garamond" w:hAnsi="Garamond" w:cs="Arial"/>
          <w:sz w:val="24"/>
          <w:szCs w:val="24"/>
        </w:rPr>
        <w:t xml:space="preserve">Isabel M. </w:t>
      </w:r>
      <w:proofErr w:type="spellStart"/>
      <w:r w:rsidRPr="00675A87">
        <w:rPr>
          <w:rFonts w:ascii="Garamond" w:hAnsi="Garamond" w:cs="Arial"/>
          <w:sz w:val="24"/>
          <w:szCs w:val="24"/>
        </w:rPr>
        <w:t>Crowley</w:t>
      </w:r>
      <w:proofErr w:type="spellEnd"/>
      <w:r>
        <w:rPr>
          <w:rFonts w:ascii="Garamond" w:hAnsi="Garamond" w:cs="Arial"/>
          <w:sz w:val="24"/>
          <w:szCs w:val="24"/>
        </w:rPr>
        <w:t>; de representantes la sociedad civil organizada y; de miembros del gabinete legal y ampliado;</w:t>
      </w:r>
      <w:r w:rsidR="00093E98" w:rsidRPr="00093E98">
        <w:rPr>
          <w:rFonts w:ascii="Garamond" w:hAnsi="Garamond" w:cs="Arial"/>
          <w:sz w:val="24"/>
          <w:szCs w:val="24"/>
        </w:rPr>
        <w:t xml:space="preserve"> llevó a cabo la firma del </w:t>
      </w:r>
      <w:r w:rsidR="00093E98" w:rsidRPr="00675A87">
        <w:rPr>
          <w:rFonts w:ascii="Garamond" w:hAnsi="Garamond" w:cs="Arial"/>
          <w:b/>
          <w:i/>
          <w:sz w:val="24"/>
          <w:szCs w:val="24"/>
        </w:rPr>
        <w:t>Acuerdo Interinstitucional por el que se crea el Modelo Administrativo de Actuación para la Atención y Seguimiento de los Compromisos Establecidos en la Iniciativa “10XINFANCIA”</w:t>
      </w:r>
      <w:r w:rsidR="00A066A8">
        <w:rPr>
          <w:rFonts w:ascii="Garamond" w:hAnsi="Garamond" w:cs="Arial"/>
          <w:b/>
          <w:i/>
          <w:sz w:val="24"/>
          <w:szCs w:val="24"/>
        </w:rPr>
        <w:t xml:space="preserve"> </w:t>
      </w:r>
      <w:r w:rsidR="00A066A8">
        <w:rPr>
          <w:rFonts w:ascii="Garamond" w:hAnsi="Garamond" w:cs="Arial"/>
          <w:sz w:val="24"/>
          <w:szCs w:val="24"/>
        </w:rPr>
        <w:t>(en adelante Acuerdo Interinstitucional)</w:t>
      </w:r>
      <w:r w:rsidR="00093E98" w:rsidRPr="00093E98">
        <w:rPr>
          <w:rFonts w:ascii="Garamond" w:hAnsi="Garamond" w:cs="Arial"/>
          <w:sz w:val="24"/>
          <w:szCs w:val="24"/>
        </w:rPr>
        <w:t>.</w:t>
      </w:r>
      <w:r>
        <w:rPr>
          <w:rFonts w:ascii="Garamond" w:hAnsi="Garamond" w:cs="Arial"/>
          <w:sz w:val="24"/>
          <w:szCs w:val="24"/>
        </w:rPr>
        <w:t xml:space="preserve"> Mismo que </w:t>
      </w:r>
      <w:r w:rsidR="00093E98" w:rsidRPr="00093E98">
        <w:rPr>
          <w:rFonts w:ascii="Garamond" w:hAnsi="Garamond" w:cs="Arial"/>
          <w:sz w:val="24"/>
          <w:szCs w:val="24"/>
        </w:rPr>
        <w:t>fue publicado en la Gaceta Oficial del Distrito Federal</w:t>
      </w:r>
      <w:r>
        <w:rPr>
          <w:rFonts w:ascii="Garamond" w:hAnsi="Garamond" w:cs="Arial"/>
          <w:sz w:val="24"/>
          <w:szCs w:val="24"/>
        </w:rPr>
        <w:t xml:space="preserve"> El 30 de abril de 2014.</w:t>
      </w:r>
    </w:p>
    <w:p w:rsidR="00675A87" w:rsidRDefault="00675A87" w:rsidP="00093E98">
      <w:pPr>
        <w:jc w:val="both"/>
        <w:rPr>
          <w:rFonts w:ascii="Garamond" w:hAnsi="Garamond" w:cs="Arial"/>
          <w:sz w:val="24"/>
          <w:szCs w:val="24"/>
        </w:rPr>
      </w:pPr>
      <w:r>
        <w:rPr>
          <w:rFonts w:ascii="Garamond" w:hAnsi="Garamond" w:cs="Arial"/>
          <w:sz w:val="24"/>
          <w:szCs w:val="24"/>
        </w:rPr>
        <w:t xml:space="preserve">Este Modelo Administrativo de Actuación tiene </w:t>
      </w:r>
      <w:r w:rsidRPr="00093E98">
        <w:rPr>
          <w:rFonts w:ascii="Garamond" w:hAnsi="Garamond" w:cs="Arial"/>
          <w:sz w:val="24"/>
          <w:szCs w:val="24"/>
        </w:rPr>
        <w:t xml:space="preserve">la finalidad de facilitar la acción coordinada de las dependencias y entidades del Gobierno de la Ciudad de México para propiciar la </w:t>
      </w:r>
      <w:r w:rsidRPr="00093E98">
        <w:rPr>
          <w:rFonts w:ascii="Garamond" w:hAnsi="Garamond" w:cs="Arial"/>
          <w:bCs/>
          <w:sz w:val="24"/>
          <w:szCs w:val="24"/>
        </w:rPr>
        <w:t>transversalidad</w:t>
      </w:r>
      <w:r w:rsidRPr="00093E98">
        <w:rPr>
          <w:rFonts w:ascii="Garamond" w:hAnsi="Garamond" w:cs="Arial"/>
          <w:sz w:val="24"/>
          <w:szCs w:val="24"/>
        </w:rPr>
        <w:t xml:space="preserve"> de la política pública enfocada a la atención </w:t>
      </w:r>
      <w:r>
        <w:rPr>
          <w:rFonts w:ascii="Garamond" w:hAnsi="Garamond" w:cs="Arial"/>
          <w:sz w:val="24"/>
          <w:szCs w:val="24"/>
        </w:rPr>
        <w:t xml:space="preserve">de los derechos de las niñas, niños y adolescentes, así como </w:t>
      </w:r>
      <w:r w:rsidRPr="00093E98">
        <w:rPr>
          <w:rFonts w:ascii="Garamond" w:hAnsi="Garamond" w:cs="Arial"/>
          <w:sz w:val="24"/>
          <w:szCs w:val="24"/>
        </w:rPr>
        <w:t>de los compromisos adquiridos en la iniciativa “10XINFANCIA”.</w:t>
      </w:r>
    </w:p>
    <w:p w:rsidR="00B81521" w:rsidRDefault="00B81521" w:rsidP="00093E98">
      <w:pPr>
        <w:jc w:val="both"/>
        <w:rPr>
          <w:rFonts w:ascii="Garamond" w:hAnsi="Garamond" w:cs="Arial"/>
          <w:sz w:val="24"/>
          <w:szCs w:val="24"/>
        </w:rPr>
      </w:pPr>
      <w:r>
        <w:rPr>
          <w:rFonts w:ascii="Garamond" w:hAnsi="Garamond" w:cs="Arial"/>
          <w:sz w:val="24"/>
          <w:szCs w:val="24"/>
        </w:rPr>
        <w:t xml:space="preserve">En términos de lo establecido en el </w:t>
      </w:r>
      <w:r w:rsidRPr="00612A57">
        <w:rPr>
          <w:rFonts w:ascii="Garamond" w:hAnsi="Garamond" w:cs="Arial"/>
          <w:b/>
          <w:sz w:val="24"/>
          <w:szCs w:val="24"/>
        </w:rPr>
        <w:t xml:space="preserve">ciclo de </w:t>
      </w:r>
      <w:r w:rsidR="00A37FD5">
        <w:rPr>
          <w:rFonts w:ascii="Garamond" w:hAnsi="Garamond" w:cs="Arial"/>
          <w:b/>
          <w:sz w:val="24"/>
          <w:szCs w:val="24"/>
        </w:rPr>
        <w:t>gestión pública</w:t>
      </w:r>
      <w:r w:rsidR="00A37FD5">
        <w:rPr>
          <w:rStyle w:val="Refdenotaalpie"/>
          <w:rFonts w:ascii="Garamond" w:hAnsi="Garamond" w:cs="Arial"/>
          <w:b/>
          <w:sz w:val="24"/>
          <w:szCs w:val="24"/>
        </w:rPr>
        <w:footnoteReference w:id="1"/>
      </w:r>
      <w:r w:rsidR="00E55777">
        <w:rPr>
          <w:rFonts w:ascii="Garamond" w:hAnsi="Garamond" w:cs="Arial"/>
          <w:sz w:val="24"/>
          <w:szCs w:val="24"/>
        </w:rPr>
        <w:t>,</w:t>
      </w:r>
      <w:r>
        <w:rPr>
          <w:rFonts w:ascii="Garamond" w:hAnsi="Garamond" w:cs="Arial"/>
          <w:sz w:val="24"/>
          <w:szCs w:val="24"/>
        </w:rPr>
        <w:t xml:space="preserve"> se busca identificar y ordenar lo</w:t>
      </w:r>
      <w:r w:rsidR="00E55777">
        <w:rPr>
          <w:rFonts w:ascii="Garamond" w:hAnsi="Garamond" w:cs="Arial"/>
          <w:sz w:val="24"/>
          <w:szCs w:val="24"/>
        </w:rPr>
        <w:t>s componentes y etapas necesaria</w:t>
      </w:r>
      <w:r>
        <w:rPr>
          <w:rFonts w:ascii="Garamond" w:hAnsi="Garamond" w:cs="Arial"/>
          <w:sz w:val="24"/>
          <w:szCs w:val="24"/>
        </w:rPr>
        <w:t xml:space="preserve">s para generar </w:t>
      </w:r>
      <w:r w:rsidR="00E55777">
        <w:rPr>
          <w:rFonts w:ascii="Garamond" w:hAnsi="Garamond" w:cs="Arial"/>
          <w:sz w:val="24"/>
          <w:szCs w:val="24"/>
        </w:rPr>
        <w:t xml:space="preserve">un mejor resultado de las políticas públicas orientadas al fomento y atención de los derechos de la infancia. </w:t>
      </w:r>
      <w:r w:rsidR="00612A57">
        <w:rPr>
          <w:rFonts w:ascii="Garamond" w:hAnsi="Garamond" w:cs="Arial"/>
          <w:sz w:val="24"/>
          <w:szCs w:val="24"/>
        </w:rPr>
        <w:t>En este sentido se ubicaron en é</w:t>
      </w:r>
      <w:r w:rsidR="00E55777">
        <w:rPr>
          <w:rFonts w:ascii="Garamond" w:hAnsi="Garamond" w:cs="Arial"/>
          <w:sz w:val="24"/>
          <w:szCs w:val="24"/>
        </w:rPr>
        <w:t xml:space="preserve">l la etapa de la planeación los objetivos de la Iniciativa </w:t>
      </w:r>
      <w:r w:rsidR="00E77661" w:rsidRPr="00093E98">
        <w:rPr>
          <w:rFonts w:ascii="Garamond" w:hAnsi="Garamond" w:cs="Arial"/>
          <w:sz w:val="24"/>
          <w:szCs w:val="24"/>
        </w:rPr>
        <w:t>“10XINFANCIA”</w:t>
      </w:r>
      <w:r w:rsidR="00E55777">
        <w:rPr>
          <w:rFonts w:ascii="Garamond" w:hAnsi="Garamond" w:cs="Arial"/>
          <w:sz w:val="24"/>
          <w:szCs w:val="24"/>
        </w:rPr>
        <w:t xml:space="preserve"> </w:t>
      </w:r>
      <w:r w:rsidR="00A066A8">
        <w:rPr>
          <w:rFonts w:ascii="Garamond" w:hAnsi="Garamond" w:cs="Arial"/>
          <w:sz w:val="24"/>
          <w:szCs w:val="24"/>
        </w:rPr>
        <w:t xml:space="preserve">y las dependencias y entidades encargadas de ejecutas las intervenciones públicas para alcanzar los propósitos del gobierno. Asimismo, en la fase de implementación se pretende delinear el conjunto de </w:t>
      </w:r>
      <w:r w:rsidR="00A066A8">
        <w:rPr>
          <w:rFonts w:ascii="Garamond" w:hAnsi="Garamond" w:cs="Arial"/>
          <w:sz w:val="24"/>
          <w:szCs w:val="24"/>
        </w:rPr>
        <w:lastRenderedPageBreak/>
        <w:t>programas y acciones que contribuyen a la atención de los compromisos de la Iniciativa. Por último en la etapa de monitoreo y evaluación se establece la necesidad de desarrollar un seguimiento permanente a los avances de la ejecución de las políticas públicas, mediante el planteamiento de metas e indicadores.</w:t>
      </w:r>
    </w:p>
    <w:p w:rsidR="00A066A8" w:rsidRPr="00C24F9D" w:rsidRDefault="00A066A8" w:rsidP="00093E98">
      <w:pPr>
        <w:jc w:val="both"/>
        <w:rPr>
          <w:rFonts w:ascii="Garamond" w:hAnsi="Garamond" w:cs="Arial"/>
          <w:b/>
          <w:sz w:val="24"/>
          <w:szCs w:val="24"/>
        </w:rPr>
      </w:pPr>
      <w:r w:rsidRPr="00C24F9D">
        <w:rPr>
          <w:rFonts w:ascii="Garamond" w:hAnsi="Garamond" w:cs="Arial"/>
          <w:b/>
          <w:sz w:val="24"/>
          <w:szCs w:val="24"/>
        </w:rPr>
        <w:t>Esquema 1. Fases y componentes del Modelo Administrativo de Actuación</w:t>
      </w:r>
    </w:p>
    <w:p w:rsidR="00675A87" w:rsidRDefault="00675A87" w:rsidP="00093E98">
      <w:pPr>
        <w:jc w:val="both"/>
        <w:rPr>
          <w:rFonts w:ascii="Garamond" w:hAnsi="Garamond" w:cs="Arial"/>
          <w:sz w:val="24"/>
          <w:szCs w:val="24"/>
        </w:rPr>
      </w:pPr>
      <w:r w:rsidRPr="00675A87">
        <w:rPr>
          <w:rFonts w:ascii="Garamond" w:hAnsi="Garamond" w:cs="Arial"/>
          <w:b/>
          <w:noProof/>
          <w:sz w:val="24"/>
          <w:szCs w:val="24"/>
          <w:lang w:eastAsia="es-MX"/>
        </w:rPr>
        <w:drawing>
          <wp:inline distT="0" distB="0" distL="0" distR="0">
            <wp:extent cx="5612130" cy="3607721"/>
            <wp:effectExtent l="0" t="0" r="0" b="0"/>
            <wp:docPr id="5" name="Objet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77" cy="5069016"/>
                      <a:chOff x="179511" y="1465620"/>
                      <a:chExt cx="8784977" cy="5069016"/>
                    </a:xfrm>
                  </a:grpSpPr>
                  <a:sp>
                    <a:nvSpPr>
                      <a:cNvPr id="16" name="15 Rectángulo"/>
                      <a:cNvSpPr/>
                    </a:nvSpPr>
                    <a:spPr>
                      <a:xfrm>
                        <a:off x="611560" y="1772816"/>
                        <a:ext cx="2808312" cy="4608512"/>
                      </a:xfrm>
                      <a:prstGeom prst="rect">
                        <a:avLst/>
                      </a:prstGeom>
                      <a:noFill/>
                      <a:ln>
                        <a:solidFill>
                          <a:srgbClr val="92D050"/>
                        </a:solidFill>
                        <a:prstDash val="sysDot"/>
                      </a:ln>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a:p>
                      </a:txBody>
                      <a:useSpRect/>
                    </a:txSp>
                    <a:style>
                      <a:lnRef idx="2">
                        <a:schemeClr val="accent1"/>
                      </a:lnRef>
                      <a:fillRef idx="1">
                        <a:schemeClr val="lt1"/>
                      </a:fillRef>
                      <a:effectRef idx="0">
                        <a:schemeClr val="accent1"/>
                      </a:effectRef>
                      <a:fontRef idx="minor">
                        <a:schemeClr val="dk1"/>
                      </a:fontRef>
                    </a:style>
                  </a:sp>
                  <a:sp>
                    <a:nvSpPr>
                      <a:cNvPr id="15" name="14 Rectángulo"/>
                      <a:cNvSpPr/>
                    </a:nvSpPr>
                    <a:spPr>
                      <a:xfrm>
                        <a:off x="5724128" y="1772816"/>
                        <a:ext cx="2808312" cy="4608512"/>
                      </a:xfrm>
                      <a:prstGeom prst="rect">
                        <a:avLst/>
                      </a:prstGeom>
                      <a:noFill/>
                      <a:ln>
                        <a:prstDash val="sysDot"/>
                      </a:ln>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dirty="0"/>
                        </a:p>
                      </a:txBody>
                      <a:useSpRect/>
                    </a:txSp>
                    <a:style>
                      <a:lnRef idx="2">
                        <a:schemeClr val="accent1"/>
                      </a:lnRef>
                      <a:fillRef idx="1">
                        <a:schemeClr val="lt1"/>
                      </a:fillRef>
                      <a:effectRef idx="0">
                        <a:schemeClr val="accent1"/>
                      </a:effectRef>
                      <a:fontRef idx="minor">
                        <a:schemeClr val="dk1"/>
                      </a:fontRef>
                    </a:style>
                  </a:sp>
                  <a:sp>
                    <a:nvSpPr>
                      <a:cNvPr id="14" name="13 Rectángulo"/>
                      <a:cNvSpPr/>
                    </a:nvSpPr>
                    <a:spPr>
                      <a:xfrm>
                        <a:off x="395536" y="1628800"/>
                        <a:ext cx="8568952" cy="1584176"/>
                      </a:xfrm>
                      <a:prstGeom prst="rect">
                        <a:avLst/>
                      </a:prstGeom>
                      <a:noFill/>
                      <a:ln>
                        <a:prstDash val="sysDot"/>
                      </a:ln>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a:p>
                      </a:txBody>
                      <a:useSpRect/>
                    </a:txSp>
                    <a:style>
                      <a:lnRef idx="2">
                        <a:schemeClr val="accent2"/>
                      </a:lnRef>
                      <a:fillRef idx="1">
                        <a:schemeClr val="lt1"/>
                      </a:fillRef>
                      <a:effectRef idx="0">
                        <a:schemeClr val="accent2"/>
                      </a:effectRef>
                      <a:fontRef idx="minor">
                        <a:schemeClr val="dk1"/>
                      </a:fontRef>
                    </a:style>
                  </a:sp>
                  <a:sp>
                    <a:nvSpPr>
                      <a:cNvPr id="2" name="1 CuadroTexto"/>
                      <a:cNvSpPr txBox="1"/>
                    </a:nvSpPr>
                    <a:spPr>
                      <a:xfrm>
                        <a:off x="1187624" y="1465620"/>
                        <a:ext cx="1584176" cy="523220"/>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b="1" dirty="0" smtClean="0"/>
                            <a:t>Objetivos</a:t>
                          </a:r>
                        </a:p>
                        <a:p>
                          <a:pPr algn="ctr"/>
                          <a:r>
                            <a:rPr lang="es-MX" sz="1400" dirty="0" smtClean="0"/>
                            <a:t>“10XInfancia” </a:t>
                          </a:r>
                          <a:endParaRPr lang="es-MX" sz="1400" dirty="0"/>
                        </a:p>
                      </a:txBody>
                      <a:useSpRect/>
                    </a:txSp>
                    <a:style>
                      <a:lnRef idx="0">
                        <a:schemeClr val="accent2"/>
                      </a:lnRef>
                      <a:fillRef idx="3">
                        <a:schemeClr val="accent2"/>
                      </a:fillRef>
                      <a:effectRef idx="3">
                        <a:schemeClr val="accent2"/>
                      </a:effectRef>
                      <a:fontRef idx="minor">
                        <a:schemeClr val="lt1"/>
                      </a:fontRef>
                    </a:style>
                  </a:sp>
                  <a:sp>
                    <a:nvSpPr>
                      <a:cNvPr id="3" name="2 CuadroTexto"/>
                      <a:cNvSpPr txBox="1"/>
                    </a:nvSpPr>
                    <a:spPr>
                      <a:xfrm>
                        <a:off x="539552" y="2021939"/>
                        <a:ext cx="2880320" cy="646331"/>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200" dirty="0" smtClean="0"/>
                            <a:t>Compromisos </a:t>
                          </a:r>
                          <a:r>
                            <a:rPr lang="es-MX" sz="1200" dirty="0" smtClean="0">
                              <a:latin typeface="+mn-lt"/>
                            </a:rPr>
                            <a:t>establecidos en la iniciativa 10XInfancia y asumidos por el Gobierno de la CDMX</a:t>
                          </a:r>
                          <a:endParaRPr lang="es-MX" sz="1200" dirty="0">
                            <a:latin typeface="+mn-lt"/>
                          </a:endParaRPr>
                        </a:p>
                      </a:txBody>
                      <a:useSpRect/>
                    </a:txSp>
                    <a:style>
                      <a:lnRef idx="2">
                        <a:schemeClr val="accent2"/>
                      </a:lnRef>
                      <a:fillRef idx="1">
                        <a:schemeClr val="lt1"/>
                      </a:fillRef>
                      <a:effectRef idx="0">
                        <a:schemeClr val="accent2"/>
                      </a:effectRef>
                      <a:fontRef idx="minor">
                        <a:schemeClr val="dk1"/>
                      </a:fontRef>
                    </a:style>
                  </a:sp>
                  <a:sp>
                    <a:nvSpPr>
                      <a:cNvPr id="4" name="3 CuadroTexto"/>
                      <a:cNvSpPr txBox="1"/>
                    </a:nvSpPr>
                    <a:spPr>
                      <a:xfrm>
                        <a:off x="6444208" y="1465620"/>
                        <a:ext cx="1584176" cy="523220"/>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dirty="0" smtClean="0"/>
                            <a:t>Dependencias de Gobierno</a:t>
                          </a:r>
                          <a:endParaRPr lang="es-MX" sz="1400" dirty="0"/>
                        </a:p>
                      </a:txBody>
                      <a:useSpRect/>
                    </a:txSp>
                    <a:style>
                      <a:lnRef idx="0">
                        <a:schemeClr val="accent2"/>
                      </a:lnRef>
                      <a:fillRef idx="3">
                        <a:schemeClr val="accent2"/>
                      </a:fillRef>
                      <a:effectRef idx="3">
                        <a:schemeClr val="accent2"/>
                      </a:effectRef>
                      <a:fontRef idx="minor">
                        <a:schemeClr val="lt1"/>
                      </a:fontRef>
                    </a:style>
                  </a:sp>
                  <a:sp>
                    <a:nvSpPr>
                      <a:cNvPr id="5" name="4 CuadroTexto"/>
                      <a:cNvSpPr txBox="1"/>
                    </a:nvSpPr>
                    <a:spPr>
                      <a:xfrm>
                        <a:off x="5580112" y="2021939"/>
                        <a:ext cx="3096344" cy="646331"/>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200" dirty="0" smtClean="0"/>
                            <a:t>Dependencias que de forma coordinada contribuirán, con la ejecución de sus políticas, a la atención de la iniciativa</a:t>
                          </a:r>
                          <a:endParaRPr lang="es-MX" sz="1200" dirty="0">
                            <a:latin typeface="+mn-lt"/>
                          </a:endParaRPr>
                        </a:p>
                      </a:txBody>
                      <a:useSpRect/>
                    </a:txSp>
                    <a:style>
                      <a:lnRef idx="2">
                        <a:schemeClr val="accent2"/>
                      </a:lnRef>
                      <a:fillRef idx="1">
                        <a:schemeClr val="lt1"/>
                      </a:fillRef>
                      <a:effectRef idx="0">
                        <a:schemeClr val="accent2"/>
                      </a:effectRef>
                      <a:fontRef idx="minor">
                        <a:schemeClr val="dk1"/>
                      </a:fontRef>
                    </a:style>
                  </a:sp>
                  <a:sp>
                    <a:nvSpPr>
                      <a:cNvPr id="6" name="5 CuadroTexto"/>
                      <a:cNvSpPr txBox="1"/>
                    </a:nvSpPr>
                    <a:spPr>
                      <a:xfrm>
                        <a:off x="6372200" y="3861048"/>
                        <a:ext cx="1738994" cy="307777"/>
                      </a:xfrm>
                      <a:prstGeom prst="rect">
                        <a:avLst/>
                      </a:prstGeom>
                    </a:spPr>
                    <a:txSp>
                      <a:txBody>
                        <a:bodyPr wrap="square" rtlCol="0" anchor="ctr">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b="1" dirty="0" smtClean="0"/>
                            <a:t>Políticas públicas</a:t>
                          </a:r>
                        </a:p>
                      </a:txBody>
                      <a:useSpRect/>
                    </a:txSp>
                    <a:style>
                      <a:lnRef idx="0">
                        <a:schemeClr val="accent1"/>
                      </a:lnRef>
                      <a:fillRef idx="3">
                        <a:schemeClr val="accent1"/>
                      </a:fillRef>
                      <a:effectRef idx="3">
                        <a:schemeClr val="accent1"/>
                      </a:effectRef>
                      <a:fontRef idx="minor">
                        <a:schemeClr val="lt1"/>
                      </a:fontRef>
                    </a:style>
                  </a:sp>
                  <a:sp>
                    <a:nvSpPr>
                      <a:cNvPr id="7" name="6 CuadroTexto"/>
                      <a:cNvSpPr txBox="1"/>
                    </a:nvSpPr>
                    <a:spPr>
                      <a:xfrm>
                        <a:off x="5652120" y="4221088"/>
                        <a:ext cx="3024336" cy="646331"/>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200" dirty="0" smtClean="0"/>
                            <a:t>Conjunto programas y/o acciones, de mayor relevancia, implementadas para la atención de los compromisos de la iniciativa</a:t>
                          </a:r>
                          <a:endParaRPr lang="es-MX" sz="1200" dirty="0">
                            <a:latin typeface="+mn-lt"/>
                          </a:endParaRPr>
                        </a:p>
                      </a:txBody>
                      <a:useSpRect/>
                    </a:txSp>
                    <a:style>
                      <a:lnRef idx="2">
                        <a:schemeClr val="accent1"/>
                      </a:lnRef>
                      <a:fillRef idx="1">
                        <a:schemeClr val="lt1"/>
                      </a:fillRef>
                      <a:effectRef idx="0">
                        <a:schemeClr val="accent1"/>
                      </a:effectRef>
                      <a:fontRef idx="minor">
                        <a:schemeClr val="dk1"/>
                      </a:fontRef>
                    </a:style>
                  </a:sp>
                  <a:sp>
                    <a:nvSpPr>
                      <a:cNvPr id="8" name="7 CuadroTexto"/>
                      <a:cNvSpPr txBox="1"/>
                    </a:nvSpPr>
                    <a:spPr>
                      <a:xfrm>
                        <a:off x="3779912" y="4869160"/>
                        <a:ext cx="1584176" cy="523220"/>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b="1" dirty="0" smtClean="0"/>
                            <a:t>Seguimiento de avances</a:t>
                          </a:r>
                        </a:p>
                      </a:txBody>
                      <a:useSpRect/>
                    </a:txSp>
                    <a:style>
                      <a:lnRef idx="0">
                        <a:schemeClr val="accent1"/>
                      </a:lnRef>
                      <a:fillRef idx="3">
                        <a:schemeClr val="accent1"/>
                      </a:fillRef>
                      <a:effectRef idx="3">
                        <a:schemeClr val="accent1"/>
                      </a:effectRef>
                      <a:fontRef idx="minor">
                        <a:schemeClr val="lt1"/>
                      </a:fontRef>
                    </a:style>
                  </a:sp>
                  <a:sp>
                    <a:nvSpPr>
                      <a:cNvPr id="9" name="8 CuadroTexto"/>
                      <a:cNvSpPr txBox="1"/>
                    </a:nvSpPr>
                    <a:spPr>
                      <a:xfrm>
                        <a:off x="2915816" y="5445224"/>
                        <a:ext cx="3096344" cy="646331"/>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200" dirty="0" smtClean="0"/>
                            <a:t>Análisis de los alcances de  las políticas públicas en relación con las metas planeadas y contribución a los objetivos de “10XInfancia</a:t>
                          </a:r>
                          <a:endParaRPr lang="es-MX" sz="1200" dirty="0">
                            <a:latin typeface="+mn-lt"/>
                          </a:endParaRPr>
                        </a:p>
                      </a:txBody>
                      <a:useSpRect/>
                    </a:txSp>
                    <a:style>
                      <a:lnRef idx="2">
                        <a:schemeClr val="accent1"/>
                      </a:lnRef>
                      <a:fillRef idx="1">
                        <a:schemeClr val="lt1"/>
                      </a:fillRef>
                      <a:effectRef idx="0">
                        <a:schemeClr val="accent1"/>
                      </a:effectRef>
                      <a:fontRef idx="minor">
                        <a:schemeClr val="dk1"/>
                      </a:fontRef>
                    </a:style>
                  </a:sp>
                  <a:sp>
                    <a:nvSpPr>
                      <a:cNvPr id="10" name="9 CuadroTexto"/>
                      <a:cNvSpPr txBox="1"/>
                    </a:nvSpPr>
                    <a:spPr>
                      <a:xfrm>
                        <a:off x="899592" y="3637473"/>
                        <a:ext cx="1728192" cy="307777"/>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400" b="1" dirty="0" smtClean="0"/>
                            <a:t>Informe de avances</a:t>
                          </a:r>
                          <a:endParaRPr lang="es-MX" sz="1400" b="1" dirty="0"/>
                        </a:p>
                      </a:txBody>
                      <a:useSpRect/>
                    </a:txSp>
                    <a:style>
                      <a:lnRef idx="0">
                        <a:schemeClr val="accent3"/>
                      </a:lnRef>
                      <a:fillRef idx="3">
                        <a:schemeClr val="accent3"/>
                      </a:fillRef>
                      <a:effectRef idx="3">
                        <a:schemeClr val="accent3"/>
                      </a:effectRef>
                      <a:fontRef idx="minor">
                        <a:schemeClr val="lt1"/>
                      </a:fontRef>
                    </a:style>
                  </a:sp>
                  <a:sp>
                    <a:nvSpPr>
                      <a:cNvPr id="11" name="10 CuadroTexto"/>
                      <a:cNvSpPr txBox="1"/>
                    </a:nvSpPr>
                    <a:spPr>
                      <a:xfrm>
                        <a:off x="179511" y="4213537"/>
                        <a:ext cx="3337999" cy="461665"/>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200" dirty="0" smtClean="0">
                              <a:latin typeface="+mn-lt"/>
                            </a:rPr>
                            <a:t>Reporte de los resultados de las políticas públicas, que sirve como insumo para la toma de decisiones </a:t>
                          </a:r>
                          <a:endParaRPr lang="es-MX" sz="1200" dirty="0">
                            <a:latin typeface="+mn-lt"/>
                          </a:endParaRPr>
                        </a:p>
                      </a:txBody>
                      <a:useSpRect/>
                    </a:txSp>
                    <a:style>
                      <a:lnRef idx="2">
                        <a:schemeClr val="accent3"/>
                      </a:lnRef>
                      <a:fillRef idx="1">
                        <a:schemeClr val="lt1"/>
                      </a:fillRef>
                      <a:effectRef idx="0">
                        <a:schemeClr val="accent3"/>
                      </a:effectRef>
                      <a:fontRef idx="minor">
                        <a:schemeClr val="dk1"/>
                      </a:fontRef>
                    </a:style>
                  </a:sp>
                  <a:sp>
                    <a:nvSpPr>
                      <a:cNvPr id="17" name="16 Flecha derecha"/>
                      <a:cNvSpPr/>
                    </a:nvSpPr>
                    <a:spPr>
                      <a:xfrm>
                        <a:off x="3995936" y="2132856"/>
                        <a:ext cx="1152128" cy="576064"/>
                      </a:xfrm>
                      <a:prstGeom prst="right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2"/>
                      </a:lnRef>
                      <a:fillRef idx="3">
                        <a:schemeClr val="accent2"/>
                      </a:fillRef>
                      <a:effectRef idx="3">
                        <a:schemeClr val="accent2"/>
                      </a:effectRef>
                      <a:fontRef idx="minor">
                        <a:schemeClr val="lt1"/>
                      </a:fontRef>
                    </a:style>
                  </a:sp>
                  <a:sp>
                    <a:nvSpPr>
                      <a:cNvPr id="18" name="17 CuadroTexto"/>
                      <a:cNvSpPr txBox="1"/>
                    </a:nvSpPr>
                    <a:spPr>
                      <a:xfrm>
                        <a:off x="3851920" y="1475492"/>
                        <a:ext cx="1296144" cy="369332"/>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dirty="0" smtClean="0"/>
                            <a:t>Planeación</a:t>
                          </a:r>
                          <a:endParaRPr lang="es-MX" dirty="0"/>
                        </a:p>
                      </a:txBody>
                      <a:useSpRect/>
                    </a:txSp>
                    <a:style>
                      <a:lnRef idx="0">
                        <a:schemeClr val="accent2"/>
                      </a:lnRef>
                      <a:fillRef idx="3">
                        <a:schemeClr val="accent2"/>
                      </a:fillRef>
                      <a:effectRef idx="3">
                        <a:schemeClr val="accent2"/>
                      </a:effectRef>
                      <a:fontRef idx="minor">
                        <a:schemeClr val="lt1"/>
                      </a:fontRef>
                    </a:style>
                  </a:sp>
                  <a:sp>
                    <a:nvSpPr>
                      <a:cNvPr id="19" name="18 CuadroTexto"/>
                      <a:cNvSpPr txBox="1"/>
                    </a:nvSpPr>
                    <a:spPr>
                      <a:xfrm>
                        <a:off x="6516216" y="6156012"/>
                        <a:ext cx="1800200" cy="369332"/>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dirty="0" smtClean="0"/>
                            <a:t>Implementación</a:t>
                          </a:r>
                          <a:endParaRPr lang="es-MX" dirty="0"/>
                        </a:p>
                      </a:txBody>
                      <a:useSpRect/>
                    </a:txSp>
                    <a:style>
                      <a:lnRef idx="0">
                        <a:schemeClr val="accent1"/>
                      </a:lnRef>
                      <a:fillRef idx="3">
                        <a:schemeClr val="accent1"/>
                      </a:fillRef>
                      <a:effectRef idx="3">
                        <a:schemeClr val="accent1"/>
                      </a:effectRef>
                      <a:fontRef idx="minor">
                        <a:schemeClr val="lt1"/>
                      </a:fontRef>
                    </a:style>
                  </a:sp>
                  <a:sp>
                    <a:nvSpPr>
                      <a:cNvPr id="20" name="19 CuadroTexto"/>
                      <a:cNvSpPr txBox="1"/>
                    </a:nvSpPr>
                    <a:spPr>
                      <a:xfrm>
                        <a:off x="1043608" y="6165304"/>
                        <a:ext cx="1728192" cy="369332"/>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dirty="0" smtClean="0"/>
                            <a:t>Seguimiento</a:t>
                          </a:r>
                          <a:endParaRPr lang="es-MX" dirty="0"/>
                        </a:p>
                      </a:txBody>
                      <a:useSpRect/>
                    </a:txSp>
                    <a:style>
                      <a:lnRef idx="0">
                        <a:schemeClr val="accent3"/>
                      </a:lnRef>
                      <a:fillRef idx="3">
                        <a:schemeClr val="accent3"/>
                      </a:fillRef>
                      <a:effectRef idx="3">
                        <a:schemeClr val="accent3"/>
                      </a:effectRef>
                      <a:fontRef idx="minor">
                        <a:schemeClr val="lt1"/>
                      </a:fontRef>
                    </a:style>
                  </a:sp>
                  <a:sp>
                    <a:nvSpPr>
                      <a:cNvPr id="21" name="20 Flecha abajo"/>
                      <a:cNvSpPr/>
                    </a:nvSpPr>
                    <a:spPr>
                      <a:xfrm>
                        <a:off x="6948264" y="2996952"/>
                        <a:ext cx="504056" cy="720080"/>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1"/>
                      </a:lnRef>
                      <a:fillRef idx="3">
                        <a:schemeClr val="accent1"/>
                      </a:fillRef>
                      <a:effectRef idx="3">
                        <a:schemeClr val="accent1"/>
                      </a:effectRef>
                      <a:fontRef idx="minor">
                        <a:schemeClr val="lt1"/>
                      </a:fontRef>
                    </a:style>
                  </a:sp>
                  <a:sp>
                    <a:nvSpPr>
                      <a:cNvPr id="23" name="22 Flecha doblada"/>
                      <a:cNvSpPr/>
                    </a:nvSpPr>
                    <a:spPr>
                      <a:xfrm rot="10800000">
                        <a:off x="6516217" y="5373216"/>
                        <a:ext cx="792088" cy="720080"/>
                      </a:xfrm>
                      <a:prstGeom prst="bent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solidFill>
                              <a:schemeClr val="tx1"/>
                            </a:solidFill>
                          </a:endParaRPr>
                        </a:p>
                      </a:txBody>
                      <a:useSpRect/>
                    </a:txSp>
                    <a:style>
                      <a:lnRef idx="0">
                        <a:schemeClr val="accent1"/>
                      </a:lnRef>
                      <a:fillRef idx="3">
                        <a:schemeClr val="accent1"/>
                      </a:fillRef>
                      <a:effectRef idx="3">
                        <a:schemeClr val="accent1"/>
                      </a:effectRef>
                      <a:fontRef idx="minor">
                        <a:schemeClr val="lt1"/>
                      </a:fontRef>
                    </a:style>
                  </a:sp>
                  <a:sp>
                    <a:nvSpPr>
                      <a:cNvPr id="25" name="24 Flecha doblada"/>
                      <a:cNvSpPr/>
                    </a:nvSpPr>
                    <a:spPr>
                      <a:xfrm rot="16200000">
                        <a:off x="1583669" y="5337212"/>
                        <a:ext cx="792088" cy="720080"/>
                      </a:xfrm>
                      <a:prstGeom prst="bent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solidFill>
                              <a:schemeClr val="tx1"/>
                            </a:solidFill>
                          </a:endParaRPr>
                        </a:p>
                      </a:txBody>
                      <a:useSpRect/>
                    </a:txSp>
                    <a:style>
                      <a:lnRef idx="0">
                        <a:schemeClr val="accent3"/>
                      </a:lnRef>
                      <a:fillRef idx="3">
                        <a:schemeClr val="accent3"/>
                      </a:fillRef>
                      <a:effectRef idx="3">
                        <a:schemeClr val="accent3"/>
                      </a:effectRef>
                      <a:fontRef idx="minor">
                        <a:schemeClr val="lt1"/>
                      </a:fontRef>
                    </a:style>
                  </a:sp>
                  <a:sp>
                    <a:nvSpPr>
                      <a:cNvPr id="26" name="25 Flecha arriba"/>
                      <a:cNvSpPr/>
                    </a:nvSpPr>
                    <a:spPr>
                      <a:xfrm>
                        <a:off x="1619672" y="2924944"/>
                        <a:ext cx="432048" cy="576064"/>
                      </a:xfrm>
                      <a:prstGeom prst="upArrow">
                        <a:avLst/>
                      </a:prstGeom>
                      <a:gradFill>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2"/>
                      </a:lnRef>
                      <a:fillRef idx="3">
                        <a:schemeClr val="accent2"/>
                      </a:fillRef>
                      <a:effectRef idx="3">
                        <a:schemeClr val="accent2"/>
                      </a:effectRef>
                      <a:fontRef idx="minor">
                        <a:schemeClr val="lt1"/>
                      </a:fontRef>
                    </a:style>
                  </a:sp>
                  <a:sp>
                    <a:nvSpPr>
                      <a:cNvPr id="27" name="26 Elipse"/>
                      <a:cNvSpPr/>
                    </a:nvSpPr>
                    <a:spPr>
                      <a:xfrm>
                        <a:off x="3563888" y="3573016"/>
                        <a:ext cx="2088232" cy="936104"/>
                      </a:xfrm>
                      <a:prstGeom prst="ellipse">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600" b="1" dirty="0" smtClean="0"/>
                            <a:t>Modelo</a:t>
                          </a:r>
                        </a:p>
                        <a:p>
                          <a:pPr algn="ctr"/>
                          <a:r>
                            <a:rPr lang="es-MX" sz="1600" b="1" dirty="0" smtClean="0"/>
                            <a:t>Administrativo de Actuación</a:t>
                          </a:r>
                          <a:endParaRPr lang="es-MX" sz="1600" b="1" dirty="0"/>
                        </a:p>
                      </a:txBody>
                      <a:useSpRect/>
                    </a:txSp>
                    <a:style>
                      <a:lnRef idx="0">
                        <a:schemeClr val="accent4"/>
                      </a:lnRef>
                      <a:fillRef idx="3">
                        <a:schemeClr val="accent4"/>
                      </a:fillRef>
                      <a:effectRef idx="3">
                        <a:schemeClr val="accent4"/>
                      </a:effectRef>
                      <a:fontRef idx="minor">
                        <a:schemeClr val="lt1"/>
                      </a:fontRef>
                    </a:style>
                  </a:sp>
                </lc:lockedCanvas>
              </a:graphicData>
            </a:graphic>
          </wp:inline>
        </w:drawing>
      </w:r>
    </w:p>
    <w:p w:rsidR="00A066A8" w:rsidRDefault="00A066A8" w:rsidP="00093E98">
      <w:pPr>
        <w:jc w:val="both"/>
        <w:rPr>
          <w:rFonts w:ascii="Garamond" w:hAnsi="Garamond" w:cs="Arial"/>
          <w:sz w:val="24"/>
          <w:szCs w:val="24"/>
        </w:rPr>
      </w:pPr>
      <w:r>
        <w:rPr>
          <w:rFonts w:ascii="Garamond" w:hAnsi="Garamond" w:cs="Arial"/>
          <w:sz w:val="24"/>
          <w:szCs w:val="24"/>
        </w:rPr>
        <w:t>En lo referente a la etapa del monitoreo el Acuerdo</w:t>
      </w:r>
      <w:r w:rsidR="00C24F9D">
        <w:rPr>
          <w:rFonts w:ascii="Garamond" w:hAnsi="Garamond" w:cs="Arial"/>
          <w:sz w:val="24"/>
          <w:szCs w:val="24"/>
        </w:rPr>
        <w:t xml:space="preserve"> </w:t>
      </w:r>
      <w:r>
        <w:rPr>
          <w:rFonts w:ascii="Garamond" w:hAnsi="Garamond" w:cs="Arial"/>
          <w:sz w:val="24"/>
          <w:szCs w:val="24"/>
        </w:rPr>
        <w:t xml:space="preserve">Interinstitucional </w:t>
      </w:r>
      <w:r w:rsidR="00C24F9D">
        <w:rPr>
          <w:rFonts w:ascii="Garamond" w:hAnsi="Garamond" w:cs="Arial"/>
          <w:sz w:val="24"/>
          <w:szCs w:val="24"/>
        </w:rPr>
        <w:t>establece que el M</w:t>
      </w:r>
      <w:r w:rsidRPr="00093E98">
        <w:rPr>
          <w:rFonts w:ascii="Garamond" w:hAnsi="Garamond" w:cs="Arial"/>
          <w:sz w:val="24"/>
          <w:szCs w:val="24"/>
        </w:rPr>
        <w:t>odelo</w:t>
      </w:r>
      <w:r w:rsidR="00C24F9D">
        <w:rPr>
          <w:rFonts w:ascii="Garamond" w:hAnsi="Garamond" w:cs="Arial"/>
          <w:sz w:val="24"/>
          <w:szCs w:val="24"/>
        </w:rPr>
        <w:t xml:space="preserve"> Administrativo de</w:t>
      </w:r>
      <w:r w:rsidRPr="00093E98">
        <w:rPr>
          <w:rFonts w:ascii="Garamond" w:hAnsi="Garamond" w:cs="Arial"/>
          <w:sz w:val="24"/>
          <w:szCs w:val="24"/>
        </w:rPr>
        <w:t xml:space="preserve"> </w:t>
      </w:r>
      <w:r w:rsidR="00C24F9D">
        <w:rPr>
          <w:rFonts w:ascii="Garamond" w:hAnsi="Garamond" w:cs="Arial"/>
          <w:sz w:val="24"/>
          <w:szCs w:val="24"/>
        </w:rPr>
        <w:t>Actuación contará</w:t>
      </w:r>
      <w:r w:rsidRPr="00093E98">
        <w:rPr>
          <w:rFonts w:ascii="Garamond" w:hAnsi="Garamond" w:cs="Arial"/>
          <w:sz w:val="24"/>
          <w:szCs w:val="24"/>
        </w:rPr>
        <w:t xml:space="preserve"> con un mecanismo que </w:t>
      </w:r>
      <w:r w:rsidRPr="00093E98">
        <w:rPr>
          <w:rFonts w:ascii="Garamond" w:hAnsi="Garamond" w:cs="Arial"/>
          <w:b/>
          <w:sz w:val="24"/>
          <w:szCs w:val="24"/>
        </w:rPr>
        <w:t>sistemati</w:t>
      </w:r>
      <w:r w:rsidR="00C24F9D">
        <w:rPr>
          <w:rFonts w:ascii="Garamond" w:hAnsi="Garamond" w:cs="Arial"/>
          <w:b/>
          <w:sz w:val="24"/>
          <w:szCs w:val="24"/>
        </w:rPr>
        <w:t>ce, procese e informe</w:t>
      </w:r>
      <w:r w:rsidRPr="00093E98">
        <w:rPr>
          <w:rFonts w:ascii="Garamond" w:hAnsi="Garamond" w:cs="Arial"/>
          <w:sz w:val="24"/>
          <w:szCs w:val="24"/>
        </w:rPr>
        <w:t xml:space="preserve"> sobre la información cualitativa y cuantitativa de las políticas públicas en la materia, a fin de generar instrumentos que permitan mejorar la atención efectiva de los compromisos por la infancia.</w:t>
      </w:r>
      <w:r>
        <w:rPr>
          <w:rFonts w:ascii="Garamond" w:hAnsi="Garamond" w:cs="Arial"/>
          <w:sz w:val="24"/>
          <w:szCs w:val="24"/>
        </w:rPr>
        <w:t xml:space="preserve"> </w:t>
      </w:r>
    </w:p>
    <w:p w:rsidR="00093E98" w:rsidRDefault="00C24F9D" w:rsidP="00093E98">
      <w:pPr>
        <w:jc w:val="both"/>
        <w:rPr>
          <w:rFonts w:ascii="Garamond" w:hAnsi="Garamond" w:cs="Arial"/>
          <w:sz w:val="24"/>
          <w:szCs w:val="24"/>
        </w:rPr>
      </w:pPr>
      <w:r>
        <w:rPr>
          <w:rFonts w:ascii="Garamond" w:hAnsi="Garamond" w:cs="Arial"/>
          <w:sz w:val="24"/>
          <w:szCs w:val="24"/>
        </w:rPr>
        <w:t xml:space="preserve">Para responder a esta necesidad, en el citado acuerdo se le instruye a </w:t>
      </w:r>
      <w:r w:rsidR="00093E98" w:rsidRPr="00093E98">
        <w:rPr>
          <w:rFonts w:ascii="Garamond" w:hAnsi="Garamond" w:cs="Arial"/>
          <w:sz w:val="24"/>
          <w:szCs w:val="24"/>
        </w:rPr>
        <w:t xml:space="preserve">la Escuela de Administración Pública del Distrito Federal </w:t>
      </w:r>
      <w:r>
        <w:rPr>
          <w:rFonts w:ascii="Garamond" w:hAnsi="Garamond" w:cs="Arial"/>
          <w:sz w:val="24"/>
          <w:szCs w:val="24"/>
        </w:rPr>
        <w:t xml:space="preserve">(EAPDF) </w:t>
      </w:r>
      <w:r w:rsidR="00093E98" w:rsidRPr="00093E98">
        <w:rPr>
          <w:rFonts w:ascii="Garamond" w:hAnsi="Garamond" w:cs="Arial"/>
          <w:sz w:val="24"/>
          <w:szCs w:val="24"/>
        </w:rPr>
        <w:t xml:space="preserve">diseñar, implementar y mantener actualizado </w:t>
      </w:r>
      <w:r>
        <w:rPr>
          <w:rFonts w:ascii="Garamond" w:hAnsi="Garamond" w:cs="Arial"/>
          <w:sz w:val="24"/>
          <w:szCs w:val="24"/>
        </w:rPr>
        <w:t>un</w:t>
      </w:r>
      <w:r w:rsidR="00093E98" w:rsidRPr="00093E98">
        <w:rPr>
          <w:rFonts w:ascii="Garamond" w:hAnsi="Garamond" w:cs="Arial"/>
          <w:sz w:val="24"/>
          <w:szCs w:val="24"/>
        </w:rPr>
        <w:t xml:space="preserve"> </w:t>
      </w:r>
      <w:r w:rsidR="00093E98" w:rsidRPr="00612A57">
        <w:rPr>
          <w:rFonts w:ascii="Garamond" w:hAnsi="Garamond" w:cs="Arial"/>
          <w:b/>
          <w:sz w:val="24"/>
          <w:szCs w:val="24"/>
        </w:rPr>
        <w:t>Mecanismo de Seguimiento del Modelo Administrativo de Actuación</w:t>
      </w:r>
      <w:r w:rsidR="00093E98" w:rsidRPr="00093E98">
        <w:rPr>
          <w:rFonts w:ascii="Garamond" w:hAnsi="Garamond" w:cs="Arial"/>
          <w:sz w:val="24"/>
          <w:szCs w:val="24"/>
        </w:rPr>
        <w:t xml:space="preserve">, así como medir los resultados derivados de los programas, acciones o servicios implementados en atención a la </w:t>
      </w:r>
      <w:r w:rsidR="00E77661">
        <w:rPr>
          <w:rFonts w:ascii="Garamond" w:hAnsi="Garamond" w:cs="Arial"/>
          <w:sz w:val="24"/>
          <w:szCs w:val="24"/>
        </w:rPr>
        <w:t>I</w:t>
      </w:r>
      <w:r w:rsidR="00093E98" w:rsidRPr="00093E98">
        <w:rPr>
          <w:rFonts w:ascii="Garamond" w:hAnsi="Garamond" w:cs="Arial"/>
          <w:sz w:val="24"/>
          <w:szCs w:val="24"/>
        </w:rPr>
        <w:t xml:space="preserve">niciativa “10XINFANCIA”. </w:t>
      </w:r>
    </w:p>
    <w:p w:rsidR="00C24F9D" w:rsidRPr="00093E98" w:rsidRDefault="00C24F9D" w:rsidP="00C24F9D">
      <w:pPr>
        <w:jc w:val="both"/>
        <w:rPr>
          <w:rFonts w:ascii="Garamond" w:hAnsi="Garamond" w:cs="Arial"/>
          <w:sz w:val="24"/>
          <w:szCs w:val="24"/>
        </w:rPr>
      </w:pPr>
      <w:r w:rsidRPr="00093E98">
        <w:rPr>
          <w:rFonts w:ascii="Garamond" w:hAnsi="Garamond" w:cs="Arial"/>
          <w:sz w:val="24"/>
          <w:szCs w:val="24"/>
        </w:rPr>
        <w:t>El Mecanismo de Seguimiento, como parte del Modelo Administrat</w:t>
      </w:r>
      <w:r>
        <w:rPr>
          <w:rFonts w:ascii="Garamond" w:hAnsi="Garamond" w:cs="Arial"/>
          <w:sz w:val="24"/>
          <w:szCs w:val="24"/>
        </w:rPr>
        <w:t>ivo de Actuación, se concentra</w:t>
      </w:r>
      <w:r w:rsidRPr="00093E98">
        <w:rPr>
          <w:rFonts w:ascii="Garamond" w:hAnsi="Garamond" w:cs="Arial"/>
          <w:sz w:val="24"/>
          <w:szCs w:val="24"/>
        </w:rPr>
        <w:t xml:space="preserve"> en el seguimiento de las acciones vin</w:t>
      </w:r>
      <w:r w:rsidR="00E77661">
        <w:rPr>
          <w:rFonts w:ascii="Garamond" w:hAnsi="Garamond" w:cs="Arial"/>
          <w:sz w:val="24"/>
          <w:szCs w:val="24"/>
        </w:rPr>
        <w:t xml:space="preserve">culadas con la Iniciativa de </w:t>
      </w:r>
      <w:r w:rsidR="00E77661" w:rsidRPr="00093E98">
        <w:rPr>
          <w:rFonts w:ascii="Garamond" w:hAnsi="Garamond" w:cs="Arial"/>
          <w:sz w:val="24"/>
          <w:szCs w:val="24"/>
        </w:rPr>
        <w:t>“10XINFANCIA”</w:t>
      </w:r>
      <w:r w:rsidRPr="00093E98">
        <w:rPr>
          <w:rFonts w:ascii="Garamond" w:hAnsi="Garamond" w:cs="Arial"/>
          <w:sz w:val="24"/>
          <w:szCs w:val="24"/>
        </w:rPr>
        <w:t xml:space="preserve">, mediante el seguimiento de los avances y la recopilación de la información de las políticas </w:t>
      </w:r>
      <w:r w:rsidRPr="00093E98">
        <w:rPr>
          <w:rFonts w:ascii="Garamond" w:hAnsi="Garamond" w:cs="Arial"/>
          <w:sz w:val="24"/>
          <w:szCs w:val="24"/>
        </w:rPr>
        <w:lastRenderedPageBreak/>
        <w:t>públicas</w:t>
      </w:r>
      <w:r w:rsidR="00E77661">
        <w:rPr>
          <w:rFonts w:ascii="Garamond" w:hAnsi="Garamond" w:cs="Arial"/>
          <w:sz w:val="24"/>
          <w:szCs w:val="24"/>
        </w:rPr>
        <w:t>, culminando el proceso la elaboración de un i</w:t>
      </w:r>
      <w:r w:rsidRPr="00093E98">
        <w:rPr>
          <w:rFonts w:ascii="Garamond" w:hAnsi="Garamond" w:cs="Arial"/>
          <w:sz w:val="24"/>
          <w:szCs w:val="24"/>
        </w:rPr>
        <w:t xml:space="preserve">nforme </w:t>
      </w:r>
      <w:r w:rsidR="00E77661">
        <w:rPr>
          <w:rFonts w:ascii="Garamond" w:hAnsi="Garamond" w:cs="Arial"/>
          <w:sz w:val="24"/>
          <w:szCs w:val="24"/>
        </w:rPr>
        <w:t>anual de resultados sobre el cumplimiento de los compromisos de la Iniciativa</w:t>
      </w:r>
      <w:r w:rsidRPr="00093E98">
        <w:rPr>
          <w:rFonts w:ascii="Garamond" w:hAnsi="Garamond" w:cs="Arial"/>
          <w:sz w:val="24"/>
          <w:szCs w:val="24"/>
        </w:rPr>
        <w:t>.</w:t>
      </w:r>
    </w:p>
    <w:p w:rsidR="00C24F9D" w:rsidRPr="00C24F9D" w:rsidRDefault="00C24F9D" w:rsidP="00C24F9D">
      <w:pPr>
        <w:jc w:val="both"/>
        <w:rPr>
          <w:rFonts w:ascii="Garamond" w:hAnsi="Garamond" w:cs="Arial"/>
          <w:b/>
          <w:sz w:val="24"/>
          <w:szCs w:val="24"/>
        </w:rPr>
      </w:pPr>
      <w:r>
        <w:rPr>
          <w:rFonts w:ascii="Garamond" w:hAnsi="Garamond" w:cs="Arial"/>
          <w:b/>
          <w:sz w:val="24"/>
          <w:szCs w:val="24"/>
        </w:rPr>
        <w:t>Esquema 2</w:t>
      </w:r>
      <w:r w:rsidRPr="00C24F9D">
        <w:rPr>
          <w:rFonts w:ascii="Garamond" w:hAnsi="Garamond" w:cs="Arial"/>
          <w:b/>
          <w:sz w:val="24"/>
          <w:szCs w:val="24"/>
        </w:rPr>
        <w:t xml:space="preserve">. </w:t>
      </w:r>
      <w:r>
        <w:rPr>
          <w:rFonts w:ascii="Garamond" w:hAnsi="Garamond" w:cs="Arial"/>
          <w:b/>
          <w:sz w:val="24"/>
          <w:szCs w:val="24"/>
        </w:rPr>
        <w:t>Ubicación del Mecanismo de Seguimiento</w:t>
      </w:r>
      <w:r w:rsidRPr="00C24F9D">
        <w:rPr>
          <w:rFonts w:ascii="Garamond" w:hAnsi="Garamond" w:cs="Arial"/>
          <w:b/>
          <w:sz w:val="24"/>
          <w:szCs w:val="24"/>
        </w:rPr>
        <w:t xml:space="preserve"> del Modelo Administrativo de Actuación</w:t>
      </w:r>
    </w:p>
    <w:p w:rsidR="00C24F9D" w:rsidRDefault="00E77661" w:rsidP="00093E98">
      <w:pPr>
        <w:jc w:val="both"/>
        <w:rPr>
          <w:rFonts w:ascii="Garamond" w:hAnsi="Garamond" w:cs="Arial"/>
          <w:sz w:val="24"/>
          <w:szCs w:val="24"/>
        </w:rPr>
      </w:pPr>
      <w:r w:rsidRPr="00E77661">
        <w:rPr>
          <w:rFonts w:ascii="Garamond" w:hAnsi="Garamond" w:cs="Arial"/>
          <w:b/>
          <w:noProof/>
          <w:sz w:val="24"/>
          <w:szCs w:val="24"/>
          <w:lang w:eastAsia="es-MX"/>
        </w:rPr>
        <w:drawing>
          <wp:inline distT="0" distB="0" distL="0" distR="0">
            <wp:extent cx="5612130" cy="3153410"/>
            <wp:effectExtent l="19050" t="0" r="7620" b="0"/>
            <wp:docPr id="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77" cy="4936614"/>
                      <a:chOff x="179511" y="1628800"/>
                      <a:chExt cx="8784977" cy="4936614"/>
                    </a:xfrm>
                  </a:grpSpPr>
                  <a:grpSp>
                    <a:nvGrpSpPr>
                      <a:cNvPr id="4" name="3 Grupo"/>
                      <a:cNvGrpSpPr/>
                    </a:nvGrpSpPr>
                    <a:grpSpPr>
                      <a:xfrm>
                        <a:off x="179511" y="1628800"/>
                        <a:ext cx="8784977" cy="4936614"/>
                        <a:chOff x="179511" y="1465620"/>
                        <a:chExt cx="8784977" cy="5099794"/>
                      </a:xfrm>
                    </a:grpSpPr>
                    <a:sp>
                      <a:nvSpPr>
                        <a:cNvPr id="5" name="4 Rectángulo"/>
                        <a:cNvSpPr/>
                      </a:nvSpPr>
                      <a:spPr>
                        <a:xfrm>
                          <a:off x="611560" y="1772816"/>
                          <a:ext cx="2880320" cy="4608512"/>
                        </a:xfrm>
                        <a:prstGeom prst="rect">
                          <a:avLst/>
                        </a:prstGeom>
                        <a:noFill/>
                        <a:ln w="57150">
                          <a:solidFill>
                            <a:srgbClr val="92D050"/>
                          </a:solidFill>
                          <a:prstDash val="sysDot"/>
                        </a:ln>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a:p>
                        </a:txBody>
                        <a:useSpRect/>
                      </a:txSp>
                      <a:style>
                        <a:lnRef idx="2">
                          <a:schemeClr val="accent1"/>
                        </a:lnRef>
                        <a:fillRef idx="1">
                          <a:schemeClr val="lt1"/>
                        </a:fillRef>
                        <a:effectRef idx="0">
                          <a:schemeClr val="accent1"/>
                        </a:effectRef>
                        <a:fontRef idx="minor">
                          <a:schemeClr val="dk1"/>
                        </a:fontRef>
                      </a:style>
                    </a:sp>
                    <a:sp>
                      <a:nvSpPr>
                        <a:cNvPr id="6" name="5 Rectángulo"/>
                        <a:cNvSpPr/>
                      </a:nvSpPr>
                      <a:spPr>
                        <a:xfrm>
                          <a:off x="5724128" y="1772816"/>
                          <a:ext cx="2808312" cy="4608512"/>
                        </a:xfrm>
                        <a:prstGeom prst="rect">
                          <a:avLst/>
                        </a:prstGeom>
                        <a:noFill/>
                        <a:ln>
                          <a:solidFill>
                            <a:schemeClr val="bg1">
                              <a:lumMod val="85000"/>
                            </a:schemeClr>
                          </a:solidFill>
                          <a:prstDash val="sysDot"/>
                        </a:ln>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dirty="0"/>
                          </a:p>
                        </a:txBody>
                        <a:useSpRect/>
                      </a:txSp>
                      <a:style>
                        <a:lnRef idx="2">
                          <a:schemeClr val="accent1"/>
                        </a:lnRef>
                        <a:fillRef idx="1">
                          <a:schemeClr val="lt1"/>
                        </a:fillRef>
                        <a:effectRef idx="0">
                          <a:schemeClr val="accent1"/>
                        </a:effectRef>
                        <a:fontRef idx="minor">
                          <a:schemeClr val="dk1"/>
                        </a:fontRef>
                      </a:style>
                    </a:sp>
                    <a:sp>
                      <a:nvSpPr>
                        <a:cNvPr id="7" name="6 Rectángulo"/>
                        <a:cNvSpPr/>
                      </a:nvSpPr>
                      <a:spPr>
                        <a:xfrm>
                          <a:off x="395536" y="1628800"/>
                          <a:ext cx="8568952" cy="1584176"/>
                        </a:xfrm>
                        <a:prstGeom prst="rect">
                          <a:avLst/>
                        </a:prstGeom>
                        <a:noFill/>
                        <a:ln>
                          <a:solidFill>
                            <a:schemeClr val="bg1">
                              <a:lumMod val="85000"/>
                            </a:schemeClr>
                          </a:solidFill>
                          <a:prstDash val="sysDot"/>
                        </a:ln>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a:p>
                        </a:txBody>
                        <a:useSpRect/>
                      </a:txSp>
                      <a:style>
                        <a:lnRef idx="2">
                          <a:schemeClr val="accent2"/>
                        </a:lnRef>
                        <a:fillRef idx="1">
                          <a:schemeClr val="lt1"/>
                        </a:fillRef>
                        <a:effectRef idx="0">
                          <a:schemeClr val="accent2"/>
                        </a:effectRef>
                        <a:fontRef idx="minor">
                          <a:schemeClr val="dk1"/>
                        </a:fontRef>
                      </a:style>
                    </a:sp>
                    <a:sp>
                      <a:nvSpPr>
                        <a:cNvPr id="8" name="7 CuadroTexto"/>
                        <a:cNvSpPr txBox="1"/>
                      </a:nvSpPr>
                      <a:spPr>
                        <a:xfrm>
                          <a:off x="1187624" y="1465620"/>
                          <a:ext cx="1584176" cy="461665"/>
                        </a:xfrm>
                        <a:prstGeom prst="rect">
                          <a:avLst/>
                        </a:prstGeom>
                        <a:solidFill>
                          <a:schemeClr val="bg1">
                            <a:lumMod val="85000"/>
                          </a:schemeClr>
                        </a:solidFill>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solidFill>
                                  <a:schemeClr val="bg1">
                                    <a:lumMod val="50000"/>
                                  </a:schemeClr>
                                </a:solidFill>
                              </a:rPr>
                              <a:t>Objetivos.</a:t>
                            </a:r>
                          </a:p>
                          <a:p>
                            <a:pPr algn="ctr"/>
                            <a:r>
                              <a:rPr lang="es-MX" sz="1200" dirty="0" smtClean="0">
                                <a:solidFill>
                                  <a:schemeClr val="bg1">
                                    <a:lumMod val="50000"/>
                                  </a:schemeClr>
                                </a:solidFill>
                              </a:rPr>
                              <a:t>“10XInfancia” </a:t>
                            </a:r>
                          </a:p>
                        </a:txBody>
                        <a:useSpRect/>
                      </a:txSp>
                      <a:style>
                        <a:lnRef idx="0">
                          <a:schemeClr val="accent2"/>
                        </a:lnRef>
                        <a:fillRef idx="3">
                          <a:schemeClr val="accent2"/>
                        </a:fillRef>
                        <a:effectRef idx="3">
                          <a:schemeClr val="accent2"/>
                        </a:effectRef>
                        <a:fontRef idx="minor">
                          <a:schemeClr val="lt1"/>
                        </a:fontRef>
                      </a:style>
                    </a:sp>
                    <a:sp>
                      <a:nvSpPr>
                        <a:cNvPr id="9" name="8 CuadroTexto"/>
                        <a:cNvSpPr txBox="1"/>
                      </a:nvSpPr>
                      <a:spPr>
                        <a:xfrm>
                          <a:off x="6444208" y="1465620"/>
                          <a:ext cx="1584176" cy="461665"/>
                        </a:xfrm>
                        <a:prstGeom prst="rect">
                          <a:avLst/>
                        </a:prstGeom>
                        <a:solidFill>
                          <a:schemeClr val="bg1">
                            <a:lumMod val="85000"/>
                          </a:schemeClr>
                        </a:solidFill>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solidFill>
                                  <a:schemeClr val="bg1">
                                    <a:lumMod val="50000"/>
                                  </a:schemeClr>
                                </a:solidFill>
                              </a:rPr>
                              <a:t>Dependencias de Gobierno</a:t>
                            </a:r>
                            <a:endParaRPr lang="es-MX" sz="1200" dirty="0">
                              <a:solidFill>
                                <a:schemeClr val="bg1">
                                  <a:lumMod val="50000"/>
                                </a:schemeClr>
                              </a:solidFill>
                            </a:endParaRPr>
                          </a:p>
                        </a:txBody>
                        <a:useSpRect/>
                      </a:txSp>
                      <a:style>
                        <a:lnRef idx="0">
                          <a:schemeClr val="accent2"/>
                        </a:lnRef>
                        <a:fillRef idx="3">
                          <a:schemeClr val="accent2"/>
                        </a:fillRef>
                        <a:effectRef idx="3">
                          <a:schemeClr val="accent2"/>
                        </a:effectRef>
                        <a:fontRef idx="minor">
                          <a:schemeClr val="lt1"/>
                        </a:fontRef>
                      </a:style>
                    </a:sp>
                    <a:sp>
                      <a:nvSpPr>
                        <a:cNvPr id="10" name="9 CuadroTexto"/>
                        <a:cNvSpPr txBox="1"/>
                      </a:nvSpPr>
                      <a:spPr>
                        <a:xfrm>
                          <a:off x="6372200" y="3876437"/>
                          <a:ext cx="1738994" cy="276999"/>
                        </a:xfrm>
                        <a:prstGeom prst="rect">
                          <a:avLst/>
                        </a:prstGeom>
                        <a:solidFill>
                          <a:schemeClr val="bg1">
                            <a:lumMod val="85000"/>
                          </a:schemeClr>
                        </a:solidFill>
                      </a:spPr>
                      <a:txSp>
                        <a:txBody>
                          <a:bodyPr wrap="square" rtlCol="0" anchor="ctr">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solidFill>
                                  <a:schemeClr val="bg1">
                                    <a:lumMod val="50000"/>
                                  </a:schemeClr>
                                </a:solidFill>
                              </a:rPr>
                              <a:t>Políticas públicas</a:t>
                            </a:r>
                          </a:p>
                        </a:txBody>
                        <a:useSpRect/>
                      </a:txSp>
                      <a:style>
                        <a:lnRef idx="0">
                          <a:schemeClr val="accent1"/>
                        </a:lnRef>
                        <a:fillRef idx="3">
                          <a:schemeClr val="accent1"/>
                        </a:fillRef>
                        <a:effectRef idx="3">
                          <a:schemeClr val="accent1"/>
                        </a:effectRef>
                        <a:fontRef idx="minor">
                          <a:schemeClr val="lt1"/>
                        </a:fontRef>
                      </a:style>
                    </a:sp>
                    <a:sp>
                      <a:nvSpPr>
                        <a:cNvPr id="11" name="10 CuadroTexto"/>
                        <a:cNvSpPr txBox="1"/>
                      </a:nvSpPr>
                      <a:spPr>
                        <a:xfrm>
                          <a:off x="3851920" y="4725144"/>
                          <a:ext cx="1584176" cy="584775"/>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600" b="1" dirty="0" smtClean="0"/>
                              <a:t>Seguimiento de avances</a:t>
                            </a:r>
                          </a:p>
                        </a:txBody>
                        <a:useSpRect/>
                      </a:txSp>
                      <a:style>
                        <a:lnRef idx="0">
                          <a:schemeClr val="accent1"/>
                        </a:lnRef>
                        <a:fillRef idx="3">
                          <a:schemeClr val="accent1"/>
                        </a:fillRef>
                        <a:effectRef idx="3">
                          <a:schemeClr val="accent1"/>
                        </a:effectRef>
                        <a:fontRef idx="minor">
                          <a:schemeClr val="lt1"/>
                        </a:fontRef>
                      </a:style>
                    </a:sp>
                    <a:sp>
                      <a:nvSpPr>
                        <a:cNvPr id="12" name="11 CuadroTexto"/>
                        <a:cNvSpPr txBox="1"/>
                      </a:nvSpPr>
                      <a:spPr>
                        <a:xfrm>
                          <a:off x="3059832" y="5437673"/>
                          <a:ext cx="3024336" cy="667696"/>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200" dirty="0" smtClean="0"/>
                              <a:t>Recopila y procesamiento de la información de los programas y acciones relacionados con la atención de la iniciativa.</a:t>
                            </a:r>
                            <a:endParaRPr lang="es-MX" sz="1200" dirty="0"/>
                          </a:p>
                        </a:txBody>
                        <a:useSpRect/>
                      </a:txSp>
                      <a:style>
                        <a:lnRef idx="2">
                          <a:schemeClr val="accent1"/>
                        </a:lnRef>
                        <a:fillRef idx="1">
                          <a:schemeClr val="lt1"/>
                        </a:fillRef>
                        <a:effectRef idx="0">
                          <a:schemeClr val="accent1"/>
                        </a:effectRef>
                        <a:fontRef idx="minor">
                          <a:schemeClr val="dk1"/>
                        </a:fontRef>
                      </a:style>
                    </a:sp>
                    <a:sp>
                      <a:nvSpPr>
                        <a:cNvPr id="14" name="13 CuadroTexto"/>
                        <a:cNvSpPr txBox="1"/>
                      </a:nvSpPr>
                      <a:spPr>
                        <a:xfrm>
                          <a:off x="971600" y="3429000"/>
                          <a:ext cx="1728192" cy="646331"/>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b="1" dirty="0" smtClean="0"/>
                              <a:t>Informe de resultados</a:t>
                            </a:r>
                            <a:endParaRPr lang="es-MX" b="1" dirty="0"/>
                          </a:p>
                        </a:txBody>
                        <a:useSpRect/>
                      </a:txSp>
                      <a:style>
                        <a:lnRef idx="0">
                          <a:schemeClr val="accent3"/>
                        </a:lnRef>
                        <a:fillRef idx="3">
                          <a:schemeClr val="accent3"/>
                        </a:fillRef>
                        <a:effectRef idx="3">
                          <a:schemeClr val="accent3"/>
                        </a:effectRef>
                        <a:fontRef idx="minor">
                          <a:schemeClr val="lt1"/>
                        </a:fontRef>
                      </a:style>
                    </a:sp>
                    <a:sp>
                      <a:nvSpPr>
                        <a:cNvPr id="15" name="14 CuadroTexto"/>
                        <a:cNvSpPr txBox="1"/>
                      </a:nvSpPr>
                      <a:spPr>
                        <a:xfrm>
                          <a:off x="179511" y="4149080"/>
                          <a:ext cx="3337999" cy="667696"/>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200" dirty="0" smtClean="0"/>
                              <a:t>Genera reportes anuales de los resultados de las políticas públicas relacionadas con los compromisos de “10XInfancia”</a:t>
                            </a:r>
                            <a:endParaRPr lang="es-MX" sz="1200" dirty="0"/>
                          </a:p>
                        </a:txBody>
                        <a:useSpRect/>
                      </a:txSp>
                      <a:style>
                        <a:lnRef idx="2">
                          <a:schemeClr val="accent3"/>
                        </a:lnRef>
                        <a:fillRef idx="1">
                          <a:schemeClr val="lt1"/>
                        </a:fillRef>
                        <a:effectRef idx="0">
                          <a:schemeClr val="accent3"/>
                        </a:effectRef>
                        <a:fontRef idx="minor">
                          <a:schemeClr val="dk1"/>
                        </a:fontRef>
                      </a:style>
                    </a:sp>
                    <a:sp>
                      <a:nvSpPr>
                        <a:cNvPr id="16" name="15 Flecha derecha"/>
                        <a:cNvSpPr/>
                      </a:nvSpPr>
                      <a:spPr>
                        <a:xfrm>
                          <a:off x="3995936" y="2132856"/>
                          <a:ext cx="1152128" cy="576064"/>
                        </a:xfrm>
                        <a:prstGeom prst="rightArrow">
                          <a:avLst/>
                        </a:prstGeom>
                        <a:solidFill>
                          <a:schemeClr val="bg1">
                            <a:lumMod val="85000"/>
                          </a:schemeClr>
                        </a:solidFill>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2"/>
                        </a:lnRef>
                        <a:fillRef idx="3">
                          <a:schemeClr val="accent2"/>
                        </a:fillRef>
                        <a:effectRef idx="3">
                          <a:schemeClr val="accent2"/>
                        </a:effectRef>
                        <a:fontRef idx="minor">
                          <a:schemeClr val="lt1"/>
                        </a:fontRef>
                      </a:style>
                    </a:sp>
                    <a:sp>
                      <a:nvSpPr>
                        <a:cNvPr id="17" name="16 CuadroTexto"/>
                        <a:cNvSpPr txBox="1"/>
                      </a:nvSpPr>
                      <a:spPr>
                        <a:xfrm>
                          <a:off x="3851920" y="1475492"/>
                          <a:ext cx="1296144" cy="338554"/>
                        </a:xfrm>
                        <a:prstGeom prst="rect">
                          <a:avLst/>
                        </a:prstGeom>
                        <a:solidFill>
                          <a:schemeClr val="bg1">
                            <a:lumMod val="85000"/>
                          </a:schemeClr>
                        </a:solidFill>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600" dirty="0" smtClean="0">
                                <a:solidFill>
                                  <a:schemeClr val="bg1">
                                    <a:lumMod val="50000"/>
                                  </a:schemeClr>
                                </a:solidFill>
                              </a:rPr>
                              <a:t>Planeación</a:t>
                            </a:r>
                            <a:endParaRPr lang="es-MX" sz="1600" dirty="0">
                              <a:solidFill>
                                <a:schemeClr val="bg1">
                                  <a:lumMod val="50000"/>
                                </a:schemeClr>
                              </a:solidFill>
                            </a:endParaRPr>
                          </a:p>
                        </a:txBody>
                        <a:useSpRect/>
                      </a:txSp>
                      <a:style>
                        <a:lnRef idx="0">
                          <a:schemeClr val="accent2"/>
                        </a:lnRef>
                        <a:fillRef idx="3">
                          <a:schemeClr val="accent2"/>
                        </a:fillRef>
                        <a:effectRef idx="3">
                          <a:schemeClr val="accent2"/>
                        </a:effectRef>
                        <a:fontRef idx="minor">
                          <a:schemeClr val="lt1"/>
                        </a:fontRef>
                      </a:style>
                    </a:sp>
                    <a:sp>
                      <a:nvSpPr>
                        <a:cNvPr id="18" name="17 CuadroTexto"/>
                        <a:cNvSpPr txBox="1"/>
                      </a:nvSpPr>
                      <a:spPr>
                        <a:xfrm>
                          <a:off x="6516216" y="6156012"/>
                          <a:ext cx="1800200" cy="338554"/>
                        </a:xfrm>
                        <a:prstGeom prst="rect">
                          <a:avLst/>
                        </a:prstGeom>
                        <a:solidFill>
                          <a:schemeClr val="bg1">
                            <a:lumMod val="85000"/>
                          </a:schemeClr>
                        </a:solidFill>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600" dirty="0" smtClean="0">
                                <a:solidFill>
                                  <a:schemeClr val="bg1">
                                    <a:lumMod val="50000"/>
                                  </a:schemeClr>
                                </a:solidFill>
                              </a:rPr>
                              <a:t>Implementación</a:t>
                            </a:r>
                            <a:endParaRPr lang="es-MX" sz="1600" dirty="0">
                              <a:solidFill>
                                <a:schemeClr val="bg1">
                                  <a:lumMod val="50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20" name="19 CuadroTexto"/>
                        <a:cNvSpPr txBox="1"/>
                      </a:nvSpPr>
                      <a:spPr>
                        <a:xfrm>
                          <a:off x="1043608" y="6165304"/>
                          <a:ext cx="1728192" cy="400110"/>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2000" b="1" dirty="0" smtClean="0"/>
                              <a:t>Seguimiento</a:t>
                            </a:r>
                            <a:endParaRPr lang="es-MX" sz="2000" b="1" dirty="0"/>
                          </a:p>
                        </a:txBody>
                        <a:useSpRect/>
                      </a:txSp>
                      <a:style>
                        <a:lnRef idx="0">
                          <a:schemeClr val="accent3"/>
                        </a:lnRef>
                        <a:fillRef idx="3">
                          <a:schemeClr val="accent3"/>
                        </a:fillRef>
                        <a:effectRef idx="3">
                          <a:schemeClr val="accent3"/>
                        </a:effectRef>
                        <a:fontRef idx="minor">
                          <a:schemeClr val="lt1"/>
                        </a:fontRef>
                      </a:style>
                    </a:sp>
                    <a:sp>
                      <a:nvSpPr>
                        <a:cNvPr id="21" name="20 Flecha abajo"/>
                        <a:cNvSpPr/>
                      </a:nvSpPr>
                      <a:spPr>
                        <a:xfrm>
                          <a:off x="6948264" y="2996952"/>
                          <a:ext cx="504056" cy="720080"/>
                        </a:xfrm>
                        <a:prstGeom prst="downArrow">
                          <a:avLst/>
                        </a:prstGeom>
                        <a:solidFill>
                          <a:schemeClr val="bg1">
                            <a:lumMod val="85000"/>
                          </a:schemeClr>
                        </a:solidFill>
                        <a:ln>
                          <a:solidFill>
                            <a:schemeClr val="bg1">
                              <a:lumMod val="85000"/>
                            </a:schemeClr>
                          </a:solid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1"/>
                        </a:lnRef>
                        <a:fillRef idx="3">
                          <a:schemeClr val="accent1"/>
                        </a:fillRef>
                        <a:effectRef idx="3">
                          <a:schemeClr val="accent1"/>
                        </a:effectRef>
                        <a:fontRef idx="minor">
                          <a:schemeClr val="lt1"/>
                        </a:fontRef>
                      </a:style>
                    </a:sp>
                    <a:sp>
                      <a:nvSpPr>
                        <a:cNvPr id="22" name="21 Flecha doblada"/>
                        <a:cNvSpPr/>
                      </a:nvSpPr>
                      <a:spPr>
                        <a:xfrm rot="10800000">
                          <a:off x="6516217" y="5373216"/>
                          <a:ext cx="792088" cy="720080"/>
                        </a:xfrm>
                        <a:prstGeom prst="bentArrow">
                          <a:avLst/>
                        </a:prstGeom>
                        <a:solidFill>
                          <a:schemeClr val="bg1">
                            <a:lumMod val="85000"/>
                          </a:schemeClr>
                        </a:solidFill>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solidFill>
                                <a:schemeClr val="tx1"/>
                              </a:solidFill>
                            </a:endParaRPr>
                          </a:p>
                        </a:txBody>
                        <a:useSpRect/>
                      </a:txSp>
                      <a:style>
                        <a:lnRef idx="0">
                          <a:schemeClr val="accent1"/>
                        </a:lnRef>
                        <a:fillRef idx="3">
                          <a:schemeClr val="accent1"/>
                        </a:fillRef>
                        <a:effectRef idx="3">
                          <a:schemeClr val="accent1"/>
                        </a:effectRef>
                        <a:fontRef idx="minor">
                          <a:schemeClr val="lt1"/>
                        </a:fontRef>
                      </a:style>
                    </a:sp>
                    <a:sp>
                      <a:nvSpPr>
                        <a:cNvPr id="23" name="22 Flecha doblada"/>
                        <a:cNvSpPr/>
                      </a:nvSpPr>
                      <a:spPr>
                        <a:xfrm rot="16200000">
                          <a:off x="1655676" y="5193196"/>
                          <a:ext cx="792088" cy="864095"/>
                        </a:xfrm>
                        <a:prstGeom prst="bent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solidFill>
                                <a:schemeClr val="tx1"/>
                              </a:solidFill>
                            </a:endParaRPr>
                          </a:p>
                        </a:txBody>
                        <a:useSpRect/>
                      </a:txSp>
                      <a:style>
                        <a:lnRef idx="0">
                          <a:schemeClr val="accent3"/>
                        </a:lnRef>
                        <a:fillRef idx="3">
                          <a:schemeClr val="accent3"/>
                        </a:fillRef>
                        <a:effectRef idx="3">
                          <a:schemeClr val="accent3"/>
                        </a:effectRef>
                        <a:fontRef idx="minor">
                          <a:schemeClr val="lt1"/>
                        </a:fontRef>
                      </a:style>
                    </a:sp>
                    <a:sp>
                      <a:nvSpPr>
                        <a:cNvPr id="24" name="23 Flecha arriba"/>
                        <a:cNvSpPr/>
                      </a:nvSpPr>
                      <a:spPr>
                        <a:xfrm>
                          <a:off x="1619672" y="2780928"/>
                          <a:ext cx="432048" cy="576064"/>
                        </a:xfrm>
                        <a:prstGeom prst="up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2"/>
                        </a:lnRef>
                        <a:fillRef idx="3">
                          <a:schemeClr val="accent2"/>
                        </a:fillRef>
                        <a:effectRef idx="3">
                          <a:schemeClr val="accent2"/>
                        </a:effectRef>
                        <a:fontRef idx="minor">
                          <a:schemeClr val="lt1"/>
                        </a:fontRef>
                      </a:style>
                    </a:sp>
                    <a:sp>
                      <a:nvSpPr>
                        <a:cNvPr id="25" name="24 Elipse"/>
                        <a:cNvSpPr/>
                      </a:nvSpPr>
                      <a:spPr>
                        <a:xfrm>
                          <a:off x="3563888" y="3501008"/>
                          <a:ext cx="2088232" cy="1008112"/>
                        </a:xfrm>
                        <a:prstGeom prst="ellipse">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b="1" dirty="0" smtClean="0"/>
                              <a:t>Mecanismo de seguimiento</a:t>
                            </a:r>
                            <a:endParaRPr lang="es-MX" b="1" dirty="0"/>
                          </a:p>
                        </a:txBody>
                        <a:useSpRect/>
                      </a:txSp>
                      <a:style>
                        <a:lnRef idx="0">
                          <a:schemeClr val="accent6"/>
                        </a:lnRef>
                        <a:fillRef idx="3">
                          <a:schemeClr val="accent6"/>
                        </a:fillRef>
                        <a:effectRef idx="3">
                          <a:schemeClr val="accent6"/>
                        </a:effectRef>
                        <a:fontRef idx="minor">
                          <a:schemeClr val="lt1"/>
                        </a:fontRef>
                      </a:style>
                    </a:sp>
                  </a:grpSp>
                </lc:lockedCanvas>
              </a:graphicData>
            </a:graphic>
          </wp:inline>
        </w:drawing>
      </w:r>
    </w:p>
    <w:p w:rsidR="00D41C18" w:rsidRDefault="00C24F9D" w:rsidP="00C24F9D">
      <w:pPr>
        <w:jc w:val="both"/>
        <w:rPr>
          <w:rFonts w:ascii="Garamond" w:hAnsi="Garamond" w:cs="Arial"/>
          <w:sz w:val="24"/>
          <w:szCs w:val="24"/>
        </w:rPr>
      </w:pPr>
      <w:r w:rsidRPr="00093E98">
        <w:rPr>
          <w:rFonts w:ascii="Garamond" w:hAnsi="Garamond" w:cs="Arial"/>
          <w:i/>
          <w:noProof/>
          <w:sz w:val="24"/>
          <w:szCs w:val="24"/>
          <w:lang w:eastAsia="es-MX"/>
        </w:rPr>
        <w:drawing>
          <wp:anchor distT="0" distB="0" distL="114300" distR="114300" simplePos="0" relativeHeight="251667968" behindDoc="1" locked="0" layoutInCell="1" allowOverlap="1">
            <wp:simplePos x="0" y="0"/>
            <wp:positionH relativeFrom="column">
              <wp:posOffset>635</wp:posOffset>
            </wp:positionH>
            <wp:positionV relativeFrom="paragraph">
              <wp:posOffset>758190</wp:posOffset>
            </wp:positionV>
            <wp:extent cx="5612130" cy="2484120"/>
            <wp:effectExtent l="0" t="114300" r="0" b="68580"/>
            <wp:wrapTight wrapText="bothSides">
              <wp:wrapPolygon edited="0">
                <wp:start x="13784" y="-994"/>
                <wp:lineTo x="13124" y="-828"/>
                <wp:lineTo x="11511" y="994"/>
                <wp:lineTo x="11511" y="1656"/>
                <wp:lineTo x="10118" y="4307"/>
                <wp:lineTo x="880" y="5135"/>
                <wp:lineTo x="0" y="5301"/>
                <wp:lineTo x="0" y="15736"/>
                <wp:lineTo x="2053" y="17558"/>
                <wp:lineTo x="2859" y="17558"/>
                <wp:lineTo x="2859" y="17724"/>
                <wp:lineTo x="4106" y="20209"/>
                <wp:lineTo x="4179" y="20209"/>
                <wp:lineTo x="4179" y="20540"/>
                <wp:lineTo x="5499" y="22196"/>
                <wp:lineTo x="5792" y="22196"/>
                <wp:lineTo x="7259" y="22196"/>
                <wp:lineTo x="7625" y="22196"/>
                <wp:lineTo x="8945" y="20540"/>
                <wp:lineTo x="8945" y="20209"/>
                <wp:lineTo x="12538" y="20209"/>
                <wp:lineTo x="20016" y="18387"/>
                <wp:lineTo x="19943" y="17558"/>
                <wp:lineTo x="20016" y="17558"/>
                <wp:lineTo x="20823" y="15074"/>
                <wp:lineTo x="20969" y="5466"/>
                <wp:lineTo x="19796" y="4969"/>
                <wp:lineTo x="12611" y="4307"/>
                <wp:lineTo x="17230" y="3644"/>
                <wp:lineTo x="17597" y="2650"/>
                <wp:lineTo x="17157" y="1160"/>
                <wp:lineTo x="15397" y="-828"/>
                <wp:lineTo x="14811" y="-994"/>
                <wp:lineTo x="13784" y="-994"/>
              </wp:wrapPolygon>
            </wp:wrapTight>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Pr>
          <w:rFonts w:ascii="Garamond" w:hAnsi="Garamond" w:cs="Arial"/>
          <w:sz w:val="24"/>
          <w:szCs w:val="24"/>
        </w:rPr>
        <w:t>Para desarrollar l</w:t>
      </w:r>
      <w:r w:rsidR="00093E98" w:rsidRPr="00093E98">
        <w:rPr>
          <w:rFonts w:ascii="Garamond" w:hAnsi="Garamond" w:cs="Arial"/>
          <w:sz w:val="24"/>
          <w:szCs w:val="24"/>
        </w:rPr>
        <w:t xml:space="preserve">a </w:t>
      </w:r>
      <w:r>
        <w:rPr>
          <w:rFonts w:ascii="Garamond" w:hAnsi="Garamond" w:cs="Arial"/>
          <w:sz w:val="24"/>
          <w:szCs w:val="24"/>
        </w:rPr>
        <w:t>tarea encomendada la EAPDF</w:t>
      </w:r>
      <w:r w:rsidR="00093E98" w:rsidRPr="00093E98">
        <w:rPr>
          <w:rFonts w:ascii="Garamond" w:hAnsi="Garamond" w:cs="Arial"/>
          <w:sz w:val="24"/>
          <w:szCs w:val="24"/>
        </w:rPr>
        <w:t xml:space="preserve"> diseñ</w:t>
      </w:r>
      <w:r>
        <w:rPr>
          <w:rFonts w:ascii="Garamond" w:hAnsi="Garamond" w:cs="Arial"/>
          <w:sz w:val="24"/>
          <w:szCs w:val="24"/>
        </w:rPr>
        <w:t xml:space="preserve">ó y expidió los </w:t>
      </w:r>
      <w:r w:rsidR="00E77661" w:rsidRPr="00E77661">
        <w:rPr>
          <w:rFonts w:ascii="Garamond" w:hAnsi="Garamond" w:cs="Arial"/>
          <w:i/>
          <w:sz w:val="24"/>
          <w:szCs w:val="24"/>
        </w:rPr>
        <w:t>Lineamientos para la generación, recopilación y procesamiento de la información derivada de las políticas, programas y acciones dirigidas a la atención de los co</w:t>
      </w:r>
      <w:r w:rsidR="00E77661">
        <w:rPr>
          <w:rFonts w:ascii="Garamond" w:hAnsi="Garamond" w:cs="Arial"/>
          <w:i/>
          <w:sz w:val="24"/>
          <w:szCs w:val="24"/>
        </w:rPr>
        <w:t>mpromisos de la iniciativa “10xI</w:t>
      </w:r>
      <w:r w:rsidR="00E77661" w:rsidRPr="00E77661">
        <w:rPr>
          <w:rFonts w:ascii="Garamond" w:hAnsi="Garamond" w:cs="Arial"/>
          <w:i/>
          <w:sz w:val="24"/>
          <w:szCs w:val="24"/>
        </w:rPr>
        <w:t>nfancia”</w:t>
      </w:r>
      <w:r w:rsidR="00093E98" w:rsidRPr="00093E98">
        <w:rPr>
          <w:rFonts w:ascii="Garamond" w:hAnsi="Garamond" w:cs="Arial"/>
          <w:sz w:val="24"/>
          <w:szCs w:val="24"/>
        </w:rPr>
        <w:t>.</w:t>
      </w:r>
      <w:r>
        <w:rPr>
          <w:rFonts w:ascii="Garamond" w:hAnsi="Garamond" w:cs="Arial"/>
          <w:sz w:val="24"/>
          <w:szCs w:val="24"/>
        </w:rPr>
        <w:t xml:space="preserve"> En ellos se establecen:</w:t>
      </w:r>
    </w:p>
    <w:p w:rsidR="001817A0" w:rsidRPr="00093E98" w:rsidRDefault="001817A0" w:rsidP="00C24F9D">
      <w:pPr>
        <w:jc w:val="both"/>
        <w:rPr>
          <w:rFonts w:ascii="Garamond" w:hAnsi="Garamond" w:cs="Arial"/>
          <w:b/>
          <w:bCs/>
          <w:sz w:val="24"/>
          <w:szCs w:val="24"/>
        </w:rPr>
      </w:pPr>
    </w:p>
    <w:p w:rsidR="00562D20" w:rsidRPr="00093E98" w:rsidRDefault="00562D20" w:rsidP="00093E98">
      <w:pPr>
        <w:jc w:val="both"/>
        <w:rPr>
          <w:rFonts w:ascii="Garamond" w:hAnsi="Garamond" w:cs="Arial"/>
          <w:sz w:val="24"/>
          <w:szCs w:val="24"/>
        </w:rPr>
      </w:pPr>
    </w:p>
    <w:p w:rsidR="00D41C18" w:rsidRPr="00093E98" w:rsidRDefault="00D41C18" w:rsidP="00093E98">
      <w:pPr>
        <w:jc w:val="both"/>
        <w:rPr>
          <w:rFonts w:ascii="Garamond" w:hAnsi="Garamond" w:cs="Arial"/>
          <w:sz w:val="24"/>
          <w:szCs w:val="24"/>
        </w:rPr>
      </w:pPr>
    </w:p>
    <w:p w:rsidR="00E77661" w:rsidRDefault="00E77661" w:rsidP="00093E98">
      <w:pPr>
        <w:jc w:val="both"/>
        <w:rPr>
          <w:rFonts w:ascii="Garamond" w:hAnsi="Garamond" w:cs="Arial"/>
          <w:b/>
          <w:sz w:val="24"/>
          <w:szCs w:val="24"/>
        </w:rPr>
      </w:pPr>
    </w:p>
    <w:p w:rsidR="00E77661" w:rsidRDefault="00E77661" w:rsidP="00093E98">
      <w:pPr>
        <w:jc w:val="both"/>
        <w:rPr>
          <w:rFonts w:ascii="Garamond" w:hAnsi="Garamond" w:cs="Arial"/>
          <w:b/>
          <w:sz w:val="24"/>
          <w:szCs w:val="24"/>
        </w:rPr>
      </w:pPr>
    </w:p>
    <w:p w:rsidR="00E77661" w:rsidRDefault="00E77661" w:rsidP="00093E98">
      <w:pPr>
        <w:jc w:val="both"/>
        <w:rPr>
          <w:rFonts w:ascii="Garamond" w:hAnsi="Garamond" w:cs="Arial"/>
          <w:b/>
          <w:sz w:val="24"/>
          <w:szCs w:val="24"/>
        </w:rPr>
      </w:pPr>
    </w:p>
    <w:p w:rsidR="00F6450B" w:rsidRDefault="00E34369" w:rsidP="00093E98">
      <w:pPr>
        <w:jc w:val="both"/>
        <w:rPr>
          <w:rFonts w:ascii="Garamond" w:hAnsi="Garamond" w:cs="Arial"/>
          <w:sz w:val="24"/>
          <w:szCs w:val="24"/>
        </w:rPr>
      </w:pPr>
      <w:r>
        <w:rPr>
          <w:rFonts w:ascii="Garamond" w:hAnsi="Garamond" w:cs="Arial"/>
          <w:sz w:val="24"/>
          <w:szCs w:val="24"/>
        </w:rPr>
        <w:lastRenderedPageBreak/>
        <w:t xml:space="preserve">El Mecanismo de Seguimiento es entonces un </w:t>
      </w:r>
      <w:r w:rsidRPr="00E34369">
        <w:rPr>
          <w:rFonts w:ascii="Garamond" w:hAnsi="Garamond" w:cs="Arial"/>
          <w:sz w:val="24"/>
          <w:szCs w:val="24"/>
        </w:rPr>
        <w:t>sistema que permite la recopilación y el análisis de la información correspondiente a los programas y/o acciones a cargo de los entes del Gobierno de</w:t>
      </w:r>
      <w:r>
        <w:rPr>
          <w:rFonts w:ascii="Garamond" w:hAnsi="Garamond" w:cs="Arial"/>
          <w:sz w:val="24"/>
          <w:szCs w:val="24"/>
        </w:rPr>
        <w:t xml:space="preserve"> </w:t>
      </w:r>
      <w:r w:rsidRPr="00E34369">
        <w:rPr>
          <w:rFonts w:ascii="Garamond" w:hAnsi="Garamond" w:cs="Arial"/>
          <w:sz w:val="24"/>
          <w:szCs w:val="24"/>
        </w:rPr>
        <w:t>l</w:t>
      </w:r>
      <w:r>
        <w:rPr>
          <w:rFonts w:ascii="Garamond" w:hAnsi="Garamond" w:cs="Arial"/>
          <w:sz w:val="24"/>
          <w:szCs w:val="24"/>
        </w:rPr>
        <w:t>a</w:t>
      </w:r>
      <w:r w:rsidRPr="00E34369">
        <w:rPr>
          <w:rFonts w:ascii="Garamond" w:hAnsi="Garamond" w:cs="Arial"/>
          <w:sz w:val="24"/>
          <w:szCs w:val="24"/>
        </w:rPr>
        <w:t xml:space="preserve"> </w:t>
      </w:r>
      <w:r>
        <w:rPr>
          <w:rFonts w:ascii="Garamond" w:hAnsi="Garamond" w:cs="Arial"/>
          <w:sz w:val="24"/>
          <w:szCs w:val="24"/>
        </w:rPr>
        <w:t>Ciudad de México</w:t>
      </w:r>
      <w:r w:rsidRPr="00E34369">
        <w:rPr>
          <w:rFonts w:ascii="Garamond" w:hAnsi="Garamond" w:cs="Arial"/>
          <w:sz w:val="24"/>
          <w:szCs w:val="24"/>
        </w:rPr>
        <w:t xml:space="preserve">, que se </w:t>
      </w:r>
      <w:r>
        <w:rPr>
          <w:rFonts w:ascii="Garamond" w:hAnsi="Garamond" w:cs="Arial"/>
          <w:sz w:val="24"/>
          <w:szCs w:val="24"/>
        </w:rPr>
        <w:t>vinculen</w:t>
      </w:r>
      <w:r w:rsidRPr="00E34369">
        <w:rPr>
          <w:rFonts w:ascii="Garamond" w:hAnsi="Garamond" w:cs="Arial"/>
          <w:sz w:val="24"/>
          <w:szCs w:val="24"/>
        </w:rPr>
        <w:t xml:space="preserve"> </w:t>
      </w:r>
      <w:r>
        <w:rPr>
          <w:rFonts w:ascii="Garamond" w:hAnsi="Garamond" w:cs="Arial"/>
          <w:sz w:val="24"/>
          <w:szCs w:val="24"/>
        </w:rPr>
        <w:t>con</w:t>
      </w:r>
      <w:r w:rsidRPr="00E34369">
        <w:rPr>
          <w:rFonts w:ascii="Garamond" w:hAnsi="Garamond" w:cs="Arial"/>
          <w:sz w:val="24"/>
          <w:szCs w:val="24"/>
        </w:rPr>
        <w:t xml:space="preserve"> la atención de los compromisos de la iniciativa “10XINFANCIA”, a fin de reportar periódicamente, de forma estructurada y transversal, los avances institucionales en la materia.</w:t>
      </w:r>
      <w:r>
        <w:rPr>
          <w:rFonts w:ascii="Garamond" w:hAnsi="Garamond" w:cs="Arial"/>
          <w:sz w:val="24"/>
          <w:szCs w:val="24"/>
        </w:rPr>
        <w:t xml:space="preserve"> Los objetivos del mecanismo son:</w:t>
      </w:r>
    </w:p>
    <w:p w:rsidR="00AB5B5D" w:rsidRDefault="00E34369" w:rsidP="00AB5B5D">
      <w:pPr>
        <w:jc w:val="both"/>
        <w:rPr>
          <w:rFonts w:ascii="Garamond" w:hAnsi="Garamond" w:cs="Arial"/>
          <w:sz w:val="24"/>
          <w:szCs w:val="24"/>
        </w:rPr>
      </w:pPr>
      <w:r>
        <w:rPr>
          <w:rFonts w:ascii="Garamond" w:hAnsi="Garamond" w:cs="Arial"/>
          <w:noProof/>
          <w:sz w:val="24"/>
          <w:szCs w:val="24"/>
          <w:lang w:eastAsia="es-MX"/>
        </w:rPr>
        <w:drawing>
          <wp:inline distT="0" distB="0" distL="0" distR="0">
            <wp:extent cx="5613654" cy="2128723"/>
            <wp:effectExtent l="19050" t="0" r="0" b="0"/>
            <wp:docPr id="13"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12" cy="3108543"/>
                      <a:chOff x="539552" y="2194412"/>
                      <a:chExt cx="8208912" cy="3108543"/>
                    </a:xfrm>
                  </a:grpSpPr>
                  <a:grpSp>
                    <a:nvGrpSpPr>
                      <a:cNvPr id="5" name="4 Grupo"/>
                      <a:cNvGrpSpPr/>
                    </a:nvGrpSpPr>
                    <a:grpSpPr>
                      <a:xfrm>
                        <a:off x="539552" y="2194412"/>
                        <a:ext cx="8208912" cy="3108543"/>
                        <a:chOff x="251520" y="2148826"/>
                        <a:chExt cx="8208912" cy="3108543"/>
                      </a:xfrm>
                    </a:grpSpPr>
                    <a:sp>
                      <a:nvSpPr>
                        <a:cNvPr id="6" name="Rectangle 1"/>
                        <a:cNvSpPr>
                          <a:spLocks noChangeArrowheads="1"/>
                        </a:cNvSpPr>
                      </a:nvSpPr>
                      <a:spPr bwMode="auto">
                        <a:xfrm>
                          <a:off x="539552" y="2148826"/>
                          <a:ext cx="7920880" cy="3108543"/>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tabLst/>
                            </a:pPr>
                            <a:r>
                              <a:rPr kumimoji="0" lang="es-MX" sz="1400" b="0" i="0" u="none" strike="noStrike" cap="none" normalizeH="0" baseline="0" dirty="0" smtClean="0">
                                <a:ln>
                                  <a:noFill/>
                                </a:ln>
                                <a:solidFill>
                                  <a:schemeClr val="tx1"/>
                                </a:solidFill>
                                <a:effectLst/>
                                <a:latin typeface="Arial" pitchFamily="34" charset="0"/>
                                <a:ea typeface="Calibri" pitchFamily="34" charset="0"/>
                                <a:cs typeface="Arial" pitchFamily="34" charset="0"/>
                              </a:rPr>
                              <a:t>Administrar y sistematizar la información de los programas y/o acciones dirigidas a la atención de Niñas, Niños y Adolescentes (NNA).  </a:t>
                            </a:r>
                          </a:p>
                          <a:p>
                            <a:pPr marL="0" marR="0" lvl="0" indent="0" algn="l" defTabSz="914400" rtl="0" eaLnBrk="1" fontAlgn="base" latinLnBrk="0" hangingPunct="1">
                              <a:lnSpc>
                                <a:spcPct val="100000"/>
                              </a:lnSpc>
                              <a:spcBef>
                                <a:spcPct val="0"/>
                              </a:spcBef>
                              <a:spcAft>
                                <a:spcPct val="0"/>
                              </a:spcAft>
                              <a:buClrTx/>
                              <a:buSzTx/>
                              <a:tabLst/>
                            </a:pPr>
                            <a:endParaRPr kumimoji="0" lang="es-MX" sz="1400" b="0" i="0" u="none" strike="noStrike" cap="none" normalizeH="0" baseline="0" dirty="0" smtClean="0">
                              <a:ln>
                                <a:noFill/>
                              </a:ln>
                              <a:solidFill>
                                <a:schemeClr val="tx1"/>
                              </a:solidFill>
                              <a:effectLst/>
                              <a:latin typeface="Arial" pitchFamily="34" charset="0"/>
                              <a:ea typeface="Calibri"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tabLst/>
                            </a:pPr>
                            <a:r>
                              <a:rPr kumimoji="0" lang="es-MX" sz="1400" b="0" i="0" u="none" strike="noStrike" cap="none" normalizeH="0" baseline="0" dirty="0" smtClean="0">
                                <a:ln>
                                  <a:noFill/>
                                </a:ln>
                                <a:solidFill>
                                  <a:schemeClr val="tx1"/>
                                </a:solidFill>
                                <a:effectLst/>
                                <a:latin typeface="Arial" pitchFamily="34" charset="0"/>
                                <a:ea typeface="Calibri" pitchFamily="34" charset="0"/>
                                <a:cs typeface="Arial" pitchFamily="34" charset="0"/>
                              </a:rPr>
                              <a:t>Proporcionar elementos que permitan realizar una valoración sobre el avance de las dependencias y entidades en la implementación de políticas públicas, mediante la verificación del cumplimiento de metas, con base en indicadores. </a:t>
                            </a:r>
                          </a:p>
                          <a:p>
                            <a:pPr marL="0" marR="0" lvl="0" indent="0" algn="l" defTabSz="914400" rtl="0" eaLnBrk="0" fontAlgn="base" latinLnBrk="0" hangingPunct="0">
                              <a:lnSpc>
                                <a:spcPct val="100000"/>
                              </a:lnSpc>
                              <a:spcBef>
                                <a:spcPct val="0"/>
                              </a:spcBef>
                              <a:spcAft>
                                <a:spcPct val="0"/>
                              </a:spcAft>
                              <a:buClrTx/>
                              <a:buSzTx/>
                              <a:tabLst/>
                            </a:pPr>
                            <a:endParaRPr kumimoji="0" lang="es-MX" sz="1400" b="0" i="0" u="none" strike="noStrike" cap="none" normalizeH="0" baseline="0" dirty="0" smtClean="0">
                              <a:ln>
                                <a:noFill/>
                              </a:ln>
                              <a:solidFill>
                                <a:schemeClr val="tx1"/>
                              </a:solidFill>
                              <a:effectLst/>
                              <a:latin typeface="Arial" pitchFamily="34" charset="0"/>
                              <a:ea typeface="Calibri"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tabLst/>
                            </a:pPr>
                            <a:r>
                              <a:rPr kumimoji="0" lang="es-MX" sz="1400" b="0" i="0" u="none" strike="noStrike" cap="none" normalizeH="0" baseline="0" dirty="0" smtClean="0">
                                <a:ln>
                                  <a:noFill/>
                                </a:ln>
                                <a:solidFill>
                                  <a:schemeClr val="tx1"/>
                                </a:solidFill>
                                <a:effectLst/>
                                <a:latin typeface="Arial" pitchFamily="34" charset="0"/>
                                <a:ea typeface="Calibri" pitchFamily="34" charset="0"/>
                                <a:cs typeface="Arial" pitchFamily="34" charset="0"/>
                              </a:rPr>
                              <a:t>Brindar reportes periódicos sobre el monitoreo</a:t>
                            </a:r>
                            <a:r>
                              <a:rPr kumimoji="0" lang="es-MX" sz="1400" b="0" i="0" u="none" strike="noStrike" cap="none" normalizeH="0" dirty="0" smtClean="0">
                                <a:ln>
                                  <a:noFill/>
                                </a:ln>
                                <a:solidFill>
                                  <a:schemeClr val="tx1"/>
                                </a:solidFill>
                                <a:effectLst/>
                                <a:latin typeface="Arial" pitchFamily="34" charset="0"/>
                                <a:ea typeface="Calibri" pitchFamily="34" charset="0"/>
                                <a:cs typeface="Arial" pitchFamily="34" charset="0"/>
                              </a:rPr>
                              <a:t> de </a:t>
                            </a:r>
                            <a:r>
                              <a:rPr kumimoji="0" lang="es-MX" sz="1400" b="0" i="0" u="none" strike="noStrike" cap="none" normalizeH="0" baseline="0" dirty="0" smtClean="0">
                                <a:ln>
                                  <a:noFill/>
                                </a:ln>
                                <a:solidFill>
                                  <a:schemeClr val="tx1"/>
                                </a:solidFill>
                                <a:effectLst/>
                                <a:latin typeface="Arial" pitchFamily="34" charset="0"/>
                                <a:ea typeface="Calibri" pitchFamily="34" charset="0"/>
                                <a:cs typeface="Arial" pitchFamily="34" charset="0"/>
                              </a:rPr>
                              <a:t>las políticas públicas dirigidas a atender los derechos de NNA y los compromisos de la iniciativa “10XInfancia” para apoyar la toma de decisiones.</a:t>
                            </a:r>
                            <a:r>
                              <a:rPr kumimoji="0" lang="es-MX" sz="1400" b="0" i="0" u="none" strike="noStrike" cap="none" normalizeH="0" baseline="0" dirty="0" smtClean="0">
                                <a:ln>
                                  <a:noFill/>
                                </a:ln>
                                <a:solidFill>
                                  <a:schemeClr val="tx1"/>
                                </a:solidFill>
                                <a:effectLst/>
                                <a:latin typeface="Arial" pitchFamily="34" charset="0"/>
                                <a:cs typeface="Arial" pitchFamily="34" charset="0"/>
                              </a:rPr>
                              <a:t> </a:t>
                            </a:r>
                          </a:p>
                          <a:p>
                            <a:pPr marL="0" marR="0" lvl="0" indent="0" algn="l" defTabSz="914400" rtl="0" eaLnBrk="0" fontAlgn="base" latinLnBrk="0" hangingPunct="0">
                              <a:lnSpc>
                                <a:spcPct val="100000"/>
                              </a:lnSpc>
                              <a:spcBef>
                                <a:spcPct val="0"/>
                              </a:spcBef>
                              <a:spcAft>
                                <a:spcPct val="0"/>
                              </a:spcAft>
                              <a:buClrTx/>
                              <a:buSzTx/>
                              <a:tabLst/>
                            </a:pPr>
                            <a:endParaRPr kumimoji="0" lang="es-MX" sz="14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tabLst/>
                            </a:pPr>
                            <a:r>
                              <a:rPr lang="es-MX" sz="1400" dirty="0" smtClean="0">
                                <a:latin typeface="Arial" pitchFamily="34" charset="0"/>
                                <a:cs typeface="Arial" pitchFamily="34" charset="0"/>
                              </a:rPr>
                              <a:t>Proporcionar la información necesaria para la evaluación de las políticas públicas dirigidas a la atención de los Derechos de Niñas, Niños y Adolescentes</a:t>
                            </a:r>
                          </a:p>
                          <a:p>
                            <a:pPr marL="0" marR="0" lvl="0" indent="0" algn="l" defTabSz="914400" rtl="0" eaLnBrk="0" fontAlgn="base" latinLnBrk="0" hangingPunct="0">
                              <a:lnSpc>
                                <a:spcPct val="100000"/>
                              </a:lnSpc>
                              <a:spcBef>
                                <a:spcPct val="0"/>
                              </a:spcBef>
                              <a:spcAft>
                                <a:spcPct val="0"/>
                              </a:spcAft>
                              <a:buClrTx/>
                              <a:buSzTx/>
                              <a:tabLst/>
                            </a:pPr>
                            <a:endParaRPr kumimoji="0" lang="es-MX"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7" name="6 Triángulo isósceles"/>
                        <a:cNvSpPr/>
                      </a:nvSpPr>
                      <a:spPr>
                        <a:xfrm rot="5400000">
                          <a:off x="215516" y="2195282"/>
                          <a:ext cx="360040" cy="288032"/>
                        </a:xfrm>
                        <a:prstGeom prst="triangle">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8" name="7 Triángulo isósceles"/>
                        <a:cNvSpPr/>
                      </a:nvSpPr>
                      <a:spPr>
                        <a:xfrm rot="5400000">
                          <a:off x="215516" y="2843354"/>
                          <a:ext cx="360040" cy="288032"/>
                        </a:xfrm>
                        <a:prstGeom prst="triangle">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9" name="8 Triángulo isósceles"/>
                        <a:cNvSpPr/>
                      </a:nvSpPr>
                      <a:spPr>
                        <a:xfrm rot="5400000">
                          <a:off x="215516" y="3707450"/>
                          <a:ext cx="360040" cy="288032"/>
                        </a:xfrm>
                        <a:prstGeom prst="triangle">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grpSp>
                  <a:sp>
                    <a:nvSpPr>
                      <a:cNvPr id="10" name="9 Triángulo isósceles"/>
                      <a:cNvSpPr/>
                    </a:nvSpPr>
                    <a:spPr>
                      <a:xfrm rot="5400000">
                        <a:off x="503548" y="4545124"/>
                        <a:ext cx="360040" cy="288032"/>
                      </a:xfrm>
                      <a:prstGeom prst="triangle">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lc:lockedCanvas>
              </a:graphicData>
            </a:graphic>
          </wp:inline>
        </w:drawing>
      </w:r>
      <w:r>
        <w:rPr>
          <w:rFonts w:ascii="Garamond" w:hAnsi="Garamond" w:cs="Arial"/>
          <w:sz w:val="24"/>
          <w:szCs w:val="24"/>
        </w:rPr>
        <w:t>Para su operación el mecanismo de seguimiento cuenta con tres etapas generales</w:t>
      </w:r>
      <w:r w:rsidR="00AB5B5D">
        <w:rPr>
          <w:rFonts w:ascii="Garamond" w:hAnsi="Garamond" w:cs="Arial"/>
          <w:sz w:val="24"/>
          <w:szCs w:val="24"/>
        </w:rPr>
        <w:t xml:space="preserve">: </w:t>
      </w:r>
      <w:r w:rsidR="00AB5B5D" w:rsidRPr="00AB5B5D">
        <w:rPr>
          <w:rFonts w:ascii="Garamond" w:hAnsi="Garamond" w:cs="Arial"/>
          <w:b/>
          <w:sz w:val="24"/>
          <w:szCs w:val="24"/>
        </w:rPr>
        <w:t>i)</w:t>
      </w:r>
      <w:r w:rsidR="00AB5B5D">
        <w:rPr>
          <w:rFonts w:ascii="Garamond" w:hAnsi="Garamond" w:cs="Arial"/>
          <w:sz w:val="24"/>
          <w:szCs w:val="24"/>
        </w:rPr>
        <w:t xml:space="preserve"> </w:t>
      </w:r>
      <w:r w:rsidR="00AB5B5D" w:rsidRPr="00AB5B5D">
        <w:rPr>
          <w:rFonts w:ascii="Garamond" w:hAnsi="Garamond" w:cs="Arial"/>
          <w:b/>
          <w:sz w:val="24"/>
          <w:szCs w:val="24"/>
        </w:rPr>
        <w:t xml:space="preserve">recopilación, </w:t>
      </w:r>
      <w:proofErr w:type="spellStart"/>
      <w:r w:rsidR="00AB5B5D">
        <w:rPr>
          <w:rFonts w:ascii="Garamond" w:hAnsi="Garamond" w:cs="Arial"/>
          <w:b/>
          <w:sz w:val="24"/>
          <w:szCs w:val="24"/>
        </w:rPr>
        <w:t>ii</w:t>
      </w:r>
      <w:proofErr w:type="spellEnd"/>
      <w:r w:rsidR="00AB5B5D">
        <w:rPr>
          <w:rFonts w:ascii="Garamond" w:hAnsi="Garamond" w:cs="Arial"/>
          <w:b/>
          <w:sz w:val="24"/>
          <w:szCs w:val="24"/>
        </w:rPr>
        <w:t xml:space="preserve">) </w:t>
      </w:r>
      <w:r w:rsidR="00AB5B5D" w:rsidRPr="00AB5B5D">
        <w:rPr>
          <w:rFonts w:ascii="Garamond" w:hAnsi="Garamond" w:cs="Arial"/>
          <w:b/>
          <w:sz w:val="24"/>
          <w:szCs w:val="24"/>
        </w:rPr>
        <w:t xml:space="preserve">procesamiento y </w:t>
      </w:r>
      <w:proofErr w:type="spellStart"/>
      <w:r w:rsidR="00AB5B5D">
        <w:rPr>
          <w:rFonts w:ascii="Garamond" w:hAnsi="Garamond" w:cs="Arial"/>
          <w:b/>
          <w:sz w:val="24"/>
          <w:szCs w:val="24"/>
        </w:rPr>
        <w:t>iii</w:t>
      </w:r>
      <w:proofErr w:type="spellEnd"/>
      <w:r w:rsidR="00AB5B5D">
        <w:rPr>
          <w:rFonts w:ascii="Garamond" w:hAnsi="Garamond" w:cs="Arial"/>
          <w:b/>
          <w:sz w:val="24"/>
          <w:szCs w:val="24"/>
        </w:rPr>
        <w:t xml:space="preserve">) </w:t>
      </w:r>
      <w:r w:rsidR="00AB5B5D" w:rsidRPr="00AB5B5D">
        <w:rPr>
          <w:rFonts w:ascii="Garamond" w:hAnsi="Garamond" w:cs="Arial"/>
          <w:b/>
          <w:sz w:val="24"/>
          <w:szCs w:val="24"/>
        </w:rPr>
        <w:t>emisión de resultados</w:t>
      </w:r>
      <w:r w:rsidR="00AB5B5D">
        <w:rPr>
          <w:rFonts w:ascii="Garamond" w:hAnsi="Garamond" w:cs="Arial"/>
          <w:sz w:val="24"/>
          <w:szCs w:val="24"/>
        </w:rPr>
        <w:t>.</w:t>
      </w:r>
      <w:r>
        <w:rPr>
          <w:rFonts w:ascii="Garamond" w:hAnsi="Garamond" w:cs="Arial"/>
          <w:sz w:val="24"/>
          <w:szCs w:val="24"/>
        </w:rPr>
        <w:t xml:space="preserve"> </w:t>
      </w:r>
      <w:r w:rsidR="00AB5B5D">
        <w:rPr>
          <w:rFonts w:ascii="Garamond" w:hAnsi="Garamond" w:cs="Arial"/>
          <w:sz w:val="24"/>
          <w:szCs w:val="24"/>
        </w:rPr>
        <w:t xml:space="preserve">En un primer momento para </w:t>
      </w:r>
      <w:r>
        <w:rPr>
          <w:rFonts w:ascii="Garamond" w:hAnsi="Garamond" w:cs="Arial"/>
          <w:sz w:val="24"/>
          <w:szCs w:val="24"/>
        </w:rPr>
        <w:t xml:space="preserve">la recopilación de la información </w:t>
      </w:r>
      <w:r w:rsidR="00AB5B5D">
        <w:rPr>
          <w:rFonts w:ascii="Garamond" w:hAnsi="Garamond" w:cs="Arial"/>
          <w:sz w:val="24"/>
          <w:szCs w:val="24"/>
        </w:rPr>
        <w:t xml:space="preserve">cada uno de los entes que forman parte del Mecanismo de Seguimiento debe designar a una persona servidora pública </w:t>
      </w:r>
      <w:r w:rsidR="00AB5B5D" w:rsidRPr="00AB5B5D">
        <w:rPr>
          <w:rFonts w:ascii="Garamond" w:hAnsi="Garamond" w:cs="Arial"/>
          <w:sz w:val="24"/>
          <w:szCs w:val="24"/>
        </w:rPr>
        <w:t xml:space="preserve">como </w:t>
      </w:r>
      <w:r w:rsidR="00AB5B5D">
        <w:rPr>
          <w:rFonts w:ascii="Garamond" w:hAnsi="Garamond" w:cs="Arial"/>
          <w:sz w:val="24"/>
          <w:szCs w:val="24"/>
        </w:rPr>
        <w:t xml:space="preserve">Enlace, quien es </w:t>
      </w:r>
      <w:r w:rsidR="00AB5B5D" w:rsidRPr="00AB5B5D">
        <w:rPr>
          <w:rFonts w:ascii="Garamond" w:hAnsi="Garamond" w:cs="Arial"/>
          <w:sz w:val="24"/>
          <w:szCs w:val="24"/>
        </w:rPr>
        <w:t xml:space="preserve">responsable de solicitar, recopilar, organizar, verificar y remitir la información derivada de los programas y/o acciones; y que fungirá como interlocutor con la </w:t>
      </w:r>
      <w:r w:rsidR="00AB5B5D">
        <w:rPr>
          <w:rFonts w:ascii="Garamond" w:hAnsi="Garamond" w:cs="Arial"/>
          <w:sz w:val="24"/>
          <w:szCs w:val="24"/>
        </w:rPr>
        <w:t>EAPDF.</w:t>
      </w:r>
    </w:p>
    <w:p w:rsidR="00F6450B" w:rsidRDefault="00AB5B5D" w:rsidP="00AB5B5D">
      <w:pPr>
        <w:jc w:val="both"/>
        <w:rPr>
          <w:rFonts w:ascii="Garamond" w:hAnsi="Garamond" w:cs="Arial"/>
          <w:sz w:val="24"/>
          <w:szCs w:val="24"/>
        </w:rPr>
      </w:pPr>
      <w:r>
        <w:rPr>
          <w:rFonts w:ascii="Garamond" w:hAnsi="Garamond" w:cs="Arial"/>
          <w:sz w:val="24"/>
          <w:szCs w:val="24"/>
        </w:rPr>
        <w:t xml:space="preserve">El Enlace debe determinar </w:t>
      </w:r>
      <w:r w:rsidR="00E34369">
        <w:rPr>
          <w:rFonts w:ascii="Garamond" w:hAnsi="Garamond" w:cs="Arial"/>
          <w:sz w:val="24"/>
          <w:szCs w:val="24"/>
        </w:rPr>
        <w:t>los programas y</w:t>
      </w:r>
      <w:r>
        <w:rPr>
          <w:rFonts w:ascii="Garamond" w:hAnsi="Garamond" w:cs="Arial"/>
          <w:sz w:val="24"/>
          <w:szCs w:val="24"/>
        </w:rPr>
        <w:t xml:space="preserve"> las</w:t>
      </w:r>
      <w:r w:rsidR="00E34369">
        <w:rPr>
          <w:rFonts w:ascii="Garamond" w:hAnsi="Garamond" w:cs="Arial"/>
          <w:sz w:val="24"/>
          <w:szCs w:val="24"/>
        </w:rPr>
        <w:t xml:space="preserve"> acciones implementadas por </w:t>
      </w:r>
      <w:r>
        <w:rPr>
          <w:rFonts w:ascii="Garamond" w:hAnsi="Garamond" w:cs="Arial"/>
          <w:sz w:val="24"/>
          <w:szCs w:val="24"/>
        </w:rPr>
        <w:t>el</w:t>
      </w:r>
      <w:r w:rsidR="00E34369">
        <w:rPr>
          <w:rFonts w:ascii="Garamond" w:hAnsi="Garamond" w:cs="Arial"/>
          <w:sz w:val="24"/>
          <w:szCs w:val="24"/>
        </w:rPr>
        <w:t xml:space="preserve"> ente público</w:t>
      </w:r>
      <w:r>
        <w:rPr>
          <w:rFonts w:ascii="Garamond" w:hAnsi="Garamond" w:cs="Arial"/>
          <w:sz w:val="24"/>
          <w:szCs w:val="24"/>
        </w:rPr>
        <w:t xml:space="preserve"> al que pertenece que contribuyan con la atención de la Iniciativa, para ello </w:t>
      </w:r>
      <w:proofErr w:type="gramStart"/>
      <w:r>
        <w:rPr>
          <w:rFonts w:ascii="Garamond" w:hAnsi="Garamond" w:cs="Arial"/>
          <w:sz w:val="24"/>
          <w:szCs w:val="24"/>
        </w:rPr>
        <w:t>deberá</w:t>
      </w:r>
      <w:proofErr w:type="gramEnd"/>
      <w:r>
        <w:rPr>
          <w:rFonts w:ascii="Garamond" w:hAnsi="Garamond" w:cs="Arial"/>
          <w:sz w:val="24"/>
          <w:szCs w:val="24"/>
        </w:rPr>
        <w:t xml:space="preserve"> basarse en tres criterios:</w:t>
      </w:r>
    </w:p>
    <w:p w:rsidR="00AB5B5D" w:rsidRDefault="00AB5B5D" w:rsidP="00AB5B5D">
      <w:pPr>
        <w:pStyle w:val="Default"/>
        <w:numPr>
          <w:ilvl w:val="0"/>
          <w:numId w:val="10"/>
        </w:numPr>
        <w:spacing w:after="134"/>
        <w:jc w:val="both"/>
        <w:rPr>
          <w:sz w:val="22"/>
          <w:szCs w:val="22"/>
        </w:rPr>
      </w:pPr>
      <w:r>
        <w:rPr>
          <w:b/>
          <w:bCs/>
          <w:sz w:val="22"/>
          <w:szCs w:val="22"/>
        </w:rPr>
        <w:t>Pertinencia</w:t>
      </w:r>
      <w:r>
        <w:rPr>
          <w:sz w:val="22"/>
          <w:szCs w:val="22"/>
        </w:rPr>
        <w:t xml:space="preserve">: los programas y/o acciones, tendrán que guardar una relación directa con la atención de los compromisos de la iniciativa y estar dirigidos a la población de entre 0 y 17 años de edad. </w:t>
      </w:r>
    </w:p>
    <w:p w:rsidR="00AB5B5D" w:rsidRDefault="00AB5B5D" w:rsidP="00AB5B5D">
      <w:pPr>
        <w:pStyle w:val="Default"/>
        <w:numPr>
          <w:ilvl w:val="0"/>
          <w:numId w:val="10"/>
        </w:numPr>
        <w:spacing w:after="134"/>
        <w:jc w:val="both"/>
        <w:rPr>
          <w:sz w:val="22"/>
          <w:szCs w:val="22"/>
        </w:rPr>
      </w:pPr>
      <w:r>
        <w:rPr>
          <w:b/>
          <w:bCs/>
          <w:sz w:val="22"/>
          <w:szCs w:val="22"/>
        </w:rPr>
        <w:t>Cuantificación</w:t>
      </w:r>
      <w:r>
        <w:rPr>
          <w:sz w:val="22"/>
          <w:szCs w:val="22"/>
        </w:rPr>
        <w:t xml:space="preserve">: los programas y/o acciones a ser seleccionados tendrán que contar con datos cuantitativos con relación al presupuesto, la población potencial, la población objetivo, las metas, los bienes y servicios entregados, la población atendida y el indicador de propósito. </w:t>
      </w:r>
    </w:p>
    <w:p w:rsidR="00AB5B5D" w:rsidRDefault="00AB5B5D" w:rsidP="00335F3A">
      <w:pPr>
        <w:pStyle w:val="Default"/>
        <w:numPr>
          <w:ilvl w:val="0"/>
          <w:numId w:val="10"/>
        </w:numPr>
        <w:spacing w:after="240"/>
        <w:jc w:val="both"/>
        <w:rPr>
          <w:sz w:val="22"/>
          <w:szCs w:val="22"/>
        </w:rPr>
      </w:pPr>
      <w:r>
        <w:rPr>
          <w:b/>
          <w:bCs/>
          <w:sz w:val="22"/>
          <w:szCs w:val="22"/>
        </w:rPr>
        <w:t>Permanencia</w:t>
      </w:r>
      <w:r>
        <w:rPr>
          <w:sz w:val="22"/>
          <w:szCs w:val="22"/>
        </w:rPr>
        <w:t xml:space="preserve">: los programas y/o acciones a ser seleccionados deben formar parte de una estrategia de mediano o largo plazos que permita realizar un seguimiento periódico de sus avances. </w:t>
      </w:r>
    </w:p>
    <w:p w:rsidR="00335F3A" w:rsidRDefault="00335F3A" w:rsidP="00335F3A">
      <w:pPr>
        <w:pStyle w:val="Default"/>
        <w:spacing w:after="240" w:line="276" w:lineRule="auto"/>
        <w:jc w:val="both"/>
      </w:pPr>
      <w:r w:rsidRPr="00335F3A">
        <w:rPr>
          <w:rFonts w:cs="Arial"/>
        </w:rPr>
        <w:t xml:space="preserve">Una vez que se hayan ubicado los programas y las acciones que formarán parte del Mecanismo de Seguimiento, el Enlace debe organizar la información derivada de éstos según lo establecido en la </w:t>
      </w:r>
      <w:r w:rsidRPr="00335F3A">
        <w:rPr>
          <w:i/>
        </w:rPr>
        <w:t xml:space="preserve">Cédula de Integración de Información, </w:t>
      </w:r>
      <w:r w:rsidRPr="00335F3A">
        <w:t xml:space="preserve">la cual es instrumento diseñado para recopilar la información cualitativa y cuantitativa de los programas y/o acciones que atienden los </w:t>
      </w:r>
      <w:r w:rsidRPr="00335F3A">
        <w:lastRenderedPageBreak/>
        <w:t>compromisos adquiridos en la iniciativa “10XINFANCIA”. La Cédula consta de tres apartados</w:t>
      </w:r>
      <w:r>
        <w:t>:</w:t>
      </w:r>
    </w:p>
    <w:p w:rsidR="00335F3A" w:rsidRDefault="00335F3A" w:rsidP="00335F3A">
      <w:pPr>
        <w:pStyle w:val="Default"/>
        <w:numPr>
          <w:ilvl w:val="0"/>
          <w:numId w:val="12"/>
        </w:numPr>
        <w:spacing w:after="134"/>
        <w:jc w:val="both"/>
        <w:rPr>
          <w:sz w:val="22"/>
          <w:szCs w:val="22"/>
        </w:rPr>
      </w:pPr>
      <w:r>
        <w:rPr>
          <w:b/>
          <w:bCs/>
          <w:sz w:val="22"/>
          <w:szCs w:val="22"/>
        </w:rPr>
        <w:t xml:space="preserve">Información general: </w:t>
      </w:r>
      <w:r>
        <w:rPr>
          <w:sz w:val="22"/>
          <w:szCs w:val="22"/>
        </w:rPr>
        <w:t xml:space="preserve">recopila la información sobre el ente encargado de implementar los programas y/o acciones, así como del enlace que se facultará para la entrega de la información. </w:t>
      </w:r>
    </w:p>
    <w:p w:rsidR="00335F3A" w:rsidRDefault="00335F3A" w:rsidP="00335F3A">
      <w:pPr>
        <w:pStyle w:val="Default"/>
        <w:numPr>
          <w:ilvl w:val="0"/>
          <w:numId w:val="12"/>
        </w:numPr>
        <w:spacing w:after="134"/>
        <w:jc w:val="both"/>
        <w:rPr>
          <w:sz w:val="22"/>
          <w:szCs w:val="22"/>
        </w:rPr>
      </w:pPr>
      <w:r>
        <w:rPr>
          <w:b/>
          <w:bCs/>
          <w:sz w:val="22"/>
          <w:szCs w:val="22"/>
        </w:rPr>
        <w:t xml:space="preserve">Información cualitativa: </w:t>
      </w:r>
      <w:r>
        <w:rPr>
          <w:sz w:val="22"/>
          <w:szCs w:val="22"/>
        </w:rPr>
        <w:t xml:space="preserve">integra la información descriptiva de los componentes básicos de un programa y/o acción, como lo son: objetivo, población potencial, población objetivo y rango de edad al que se atiende. </w:t>
      </w:r>
    </w:p>
    <w:p w:rsidR="00335F3A" w:rsidRDefault="00335F3A" w:rsidP="00335F3A">
      <w:pPr>
        <w:pStyle w:val="Default"/>
        <w:numPr>
          <w:ilvl w:val="0"/>
          <w:numId w:val="12"/>
        </w:numPr>
        <w:spacing w:after="240"/>
        <w:jc w:val="both"/>
        <w:rPr>
          <w:sz w:val="22"/>
          <w:szCs w:val="22"/>
        </w:rPr>
      </w:pPr>
      <w:r>
        <w:rPr>
          <w:b/>
          <w:bCs/>
          <w:sz w:val="22"/>
          <w:szCs w:val="22"/>
        </w:rPr>
        <w:t xml:space="preserve">Información cuantitativa: </w:t>
      </w:r>
      <w:r>
        <w:rPr>
          <w:sz w:val="22"/>
          <w:szCs w:val="22"/>
        </w:rPr>
        <w:t xml:space="preserve">recopila la información numérica de los componentes del programa y/o acción, como lo son: el presupuesto asignado, la población potencial, la población objetivo, las metas, la población atendida, los bienes o servicios entregados, indicadores de gestión, la línea basal, así como de datos socio demográficos de la población atendida. </w:t>
      </w:r>
    </w:p>
    <w:p w:rsidR="00335F3A" w:rsidRDefault="00335F3A" w:rsidP="00335F3A">
      <w:pPr>
        <w:pStyle w:val="Default"/>
        <w:spacing w:after="240" w:line="276" w:lineRule="auto"/>
        <w:jc w:val="both"/>
      </w:pPr>
      <w:r>
        <w:t>El procesamiento de la información remitida</w:t>
      </w:r>
      <w:r w:rsidR="00CB1619">
        <w:t xml:space="preserve"> trimestralmente</w:t>
      </w:r>
      <w:r>
        <w:t xml:space="preserve"> por los entes, es realizado por la EAPDF</w:t>
      </w:r>
      <w:r w:rsidRPr="00335F3A">
        <w:t xml:space="preserve"> a partir del uso de </w:t>
      </w:r>
      <w:r w:rsidRPr="00612A57">
        <w:rPr>
          <w:b/>
        </w:rPr>
        <w:t>indicadores de gestión que permitirán conocer el avance de los programas y acciones</w:t>
      </w:r>
      <w:r w:rsidRPr="00335F3A">
        <w:t xml:space="preserve"> respecto a las metas planeadas</w:t>
      </w:r>
      <w:r w:rsidR="00612A57">
        <w:t xml:space="preserve"> en términos de bienes y servicios y población atendida</w:t>
      </w:r>
      <w:r w:rsidRPr="00335F3A">
        <w:t>, así como su contribución a la atención de los compromisos de la iniciativa “10XINFANCIA”.</w:t>
      </w:r>
      <w:r>
        <w:t xml:space="preserve"> </w:t>
      </w:r>
    </w:p>
    <w:p w:rsidR="00A37FD5" w:rsidRDefault="00164109" w:rsidP="00335F3A">
      <w:pPr>
        <w:pStyle w:val="Default"/>
        <w:spacing w:after="240" w:line="276" w:lineRule="auto"/>
        <w:jc w:val="both"/>
      </w:pPr>
      <w:r w:rsidRPr="00164109">
        <w:rPr>
          <w:noProof/>
          <w:lang w:eastAsia="es-MX"/>
        </w:rPr>
        <w:drawing>
          <wp:inline distT="0" distB="0" distL="0" distR="0">
            <wp:extent cx="5612130" cy="2853690"/>
            <wp:effectExtent l="19050" t="0" r="7620" b="0"/>
            <wp:docPr id="15" name="Objeto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4320480"/>
                      <a:chOff x="323528" y="2204864"/>
                      <a:chExt cx="8496944" cy="4320480"/>
                    </a:xfrm>
                  </a:grpSpPr>
                  <a:sp>
                    <a:nvSpPr>
                      <a:cNvPr id="11" name="AutoShape 2"/>
                      <a:cNvSpPr>
                        <a:spLocks noChangeArrowheads="1"/>
                      </a:cNvSpPr>
                    </a:nvSpPr>
                    <a:spPr bwMode="auto">
                      <a:xfrm>
                        <a:off x="323528" y="2204864"/>
                        <a:ext cx="8496944" cy="4320480"/>
                      </a:xfrm>
                      <a:prstGeom prst="roundRect">
                        <a:avLst>
                          <a:gd name="adj" fmla="val 16667"/>
                        </a:avLst>
                      </a:prstGeom>
                      <a:solidFill>
                        <a:srgbClr val="D8D8D8"/>
                      </a:solidFill>
                      <a:ln w="12700">
                        <a:solidFill>
                          <a:srgbClr val="E36C0A"/>
                        </a:solidFill>
                        <a:round/>
                        <a:headEnd/>
                        <a:tailEnd/>
                      </a:ln>
                      <a:effectLst>
                        <a:outerShdw dist="28398" dir="3806097" algn="ctr" rotWithShape="0">
                          <a:srgbClr val="205867"/>
                        </a:outerShdw>
                      </a:effectLst>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MX" sz="1000" b="1" i="0" u="sng" strike="noStrike" cap="none" normalizeH="0" baseline="0" dirty="0" smtClean="0">
                              <a:ln>
                                <a:noFill/>
                              </a:ln>
                              <a:solidFill>
                                <a:schemeClr val="tx1"/>
                              </a:solidFill>
                              <a:effectLst/>
                              <a:latin typeface="Arial" pitchFamily="34" charset="0"/>
                              <a:cs typeface="Arial" pitchFamily="34" charset="0"/>
                            </a:rPr>
                            <a:t>Datos e </a:t>
                          </a:r>
                          <a:r>
                            <a:rPr kumimoji="0" lang="es-MX" sz="1000" b="1" i="0" u="sng" strike="noStrike" cap="none" normalizeH="0" baseline="0" dirty="0" smtClean="0">
                              <a:ln>
                                <a:noFill/>
                              </a:ln>
                              <a:solidFill>
                                <a:schemeClr val="tx1"/>
                              </a:solidFill>
                              <a:effectLst/>
                              <a:latin typeface="Arial" pitchFamily="34" charset="0"/>
                              <a:cs typeface="Arial" pitchFamily="34" charset="0"/>
                            </a:rPr>
                            <a:t>indicadores del Mecanismo de Seguimiento</a:t>
                          </a:r>
                          <a:endParaRPr kumimoji="0" lang="es-MX" sz="1000" b="1" i="0" u="sng"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1" fontAlgn="base" latinLnBrk="0" hangingPunct="1">
                            <a:lnSpc>
                              <a:spcPct val="100000"/>
                            </a:lnSpc>
                            <a:spcBef>
                              <a:spcPct val="0"/>
                            </a:spcBef>
                            <a:spcAft>
                              <a:spcPct val="0"/>
                            </a:spcAft>
                            <a:buClrTx/>
                            <a:buSzTx/>
                            <a:tabLst/>
                          </a:pPr>
                          <a:r>
                            <a:rPr kumimoji="0" lang="es-MX" sz="1000" b="1" i="0" u="sng" strike="noStrike" cap="none" normalizeH="0" baseline="0" dirty="0" smtClean="0">
                              <a:ln>
                                <a:noFill/>
                              </a:ln>
                              <a:solidFill>
                                <a:schemeClr val="tx1"/>
                              </a:solidFill>
                              <a:effectLst/>
                              <a:latin typeface="Arial" pitchFamily="34" charset="0"/>
                              <a:cs typeface="Arial" pitchFamily="34" charset="0"/>
                            </a:rPr>
                            <a:t>Datos</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Número de programas y/o acciones por dependencia y compromiso </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Número de bienes y servicios a entregar por dependencia y compromiso (Meta) (2014)</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Número de bienes y servicios entregados por dependencia y compromiso (2014)</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Población a atender por dependencia y programa (Meta) </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Población atendida por dependencia y compromiso (2014)</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Presupuesto asignado por dependencia y compromiso (2014)</a:t>
                          </a:r>
                        </a:p>
                        <a:p>
                          <a:pPr marL="0" marR="0" lvl="0" indent="0" algn="l" defTabSz="914400" rtl="0" eaLnBrk="1" fontAlgn="base" latinLnBrk="0" hangingPunct="1">
                            <a:lnSpc>
                              <a:spcPct val="100000"/>
                            </a:lnSpc>
                            <a:spcBef>
                              <a:spcPct val="0"/>
                            </a:spcBef>
                            <a:spcAft>
                              <a:spcPct val="0"/>
                            </a:spcAft>
                            <a:buClrTx/>
                            <a:buSzTx/>
                            <a:tabLst/>
                          </a:pPr>
                          <a:r>
                            <a:rPr kumimoji="0" lang="es-MX" sz="1000" b="1" i="0" u="sng" strike="noStrike" cap="none" normalizeH="0" baseline="0" dirty="0" smtClean="0">
                              <a:ln>
                                <a:noFill/>
                              </a:ln>
                              <a:solidFill>
                                <a:schemeClr val="tx1"/>
                              </a:solidFill>
                              <a:effectLst/>
                              <a:latin typeface="Arial" pitchFamily="34" charset="0"/>
                              <a:cs typeface="Arial" pitchFamily="34" charset="0"/>
                            </a:rPr>
                            <a:t>Indicadores de Cobertura</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Porcentaje de bienes y servicios entregados respecto a los bienes y servicios a entregar (Meta) por dependencia y compromiso (2014)</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Porcentaje de población atendida respecto a la población a atender (Meta) por dependencia y compromiso (2014)</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Porcentaje de población atendida respecto a la población objetivo por dependencia y compromiso (2014)</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Porcentaje de población atendida respecto a la población potencial por dependencia y por compromiso (2014)</a:t>
                          </a:r>
                        </a:p>
                        <a:p>
                          <a:pPr marL="0" marR="0" lvl="0" indent="0" algn="l" defTabSz="914400" rtl="0" eaLnBrk="1" fontAlgn="base" latinLnBrk="0" hangingPunct="1">
                            <a:lnSpc>
                              <a:spcPct val="100000"/>
                            </a:lnSpc>
                            <a:spcBef>
                              <a:spcPct val="0"/>
                            </a:spcBef>
                            <a:spcAft>
                              <a:spcPct val="0"/>
                            </a:spcAft>
                            <a:buClrTx/>
                            <a:buSzTx/>
                            <a:buFontTx/>
                            <a:buNone/>
                            <a:tabLst/>
                          </a:pPr>
                          <a:r>
                            <a:rPr kumimoji="0" lang="es-MX" sz="1000" b="1" i="0" u="sng" strike="noStrike" cap="none" normalizeH="0" baseline="0" dirty="0" smtClean="0">
                              <a:ln>
                                <a:noFill/>
                              </a:ln>
                              <a:solidFill>
                                <a:schemeClr val="tx1"/>
                              </a:solidFill>
                              <a:effectLst/>
                              <a:latin typeface="Arial" pitchFamily="34" charset="0"/>
                              <a:cs typeface="Arial" pitchFamily="34" charset="0"/>
                            </a:rPr>
                            <a:t>Indicadores de </a:t>
                          </a:r>
                          <a:r>
                            <a:rPr lang="es-MX" sz="1000" b="1" u="sng" dirty="0" smtClean="0">
                              <a:latin typeface="Arial" pitchFamily="34" charset="0"/>
                              <a:cs typeface="Arial" pitchFamily="34" charset="0"/>
                            </a:rPr>
                            <a:t>gasto</a:t>
                          </a:r>
                          <a:endParaRPr kumimoji="0" lang="es-MX" sz="1000" b="1" i="0" u="sng" strike="noStrike" cap="none" normalizeH="0" baseline="0" dirty="0" smtClean="0">
                            <a:ln>
                              <a:noFill/>
                            </a:ln>
                            <a:solidFill>
                              <a:schemeClr val="tx1"/>
                            </a:solidFill>
                            <a:effectLst/>
                            <a:latin typeface="Arial" pitchFamily="34" charset="0"/>
                            <a:cs typeface="Arial" pitchFamily="34" charset="0"/>
                          </a:endParaRP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Presupuesto per cápita (población atendida) por programa </a:t>
                          </a:r>
                        </a:p>
                        <a:p>
                          <a:pPr marL="457200" marR="0" lvl="1" indent="0" algn="l" defTabSz="914400" rtl="0" eaLnBrk="1" fontAlgn="base" latinLnBrk="0" hangingPunct="1">
                            <a:lnSpc>
                              <a:spcPct val="100000"/>
                            </a:lnSpc>
                            <a:spcBef>
                              <a:spcPct val="0"/>
                            </a:spcBef>
                            <a:spcAft>
                              <a:spcPct val="0"/>
                            </a:spcAft>
                            <a:buClrTx/>
                            <a:buSzTx/>
                            <a:buFontTx/>
                            <a:buNone/>
                            <a:tabLst/>
                          </a:pPr>
                          <a:r>
                            <a:rPr kumimoji="0" lang="es-MX" sz="1000" b="0" i="0" u="none" strike="noStrike" cap="none" normalizeH="0" baseline="0" dirty="0" smtClean="0">
                              <a:ln>
                                <a:noFill/>
                              </a:ln>
                              <a:solidFill>
                                <a:schemeClr val="tx1"/>
                              </a:solidFill>
                              <a:effectLst/>
                              <a:latin typeface="Arial" pitchFamily="34" charset="0"/>
                              <a:cs typeface="Arial" pitchFamily="34" charset="0"/>
                            </a:rPr>
                            <a:t>Presupuesto por bien o servicio entregado</a:t>
                          </a:r>
                        </a:p>
                        <a:p>
                          <a:pPr marL="457200" marR="0" lvl="1" indent="0" algn="l" defTabSz="914400" rtl="0" eaLnBrk="1" fontAlgn="base" latinLnBrk="0" hangingPunct="1">
                            <a:lnSpc>
                              <a:spcPct val="100000"/>
                            </a:lnSpc>
                            <a:spcBef>
                              <a:spcPct val="0"/>
                            </a:spcBef>
                            <a:spcAft>
                              <a:spcPct val="0"/>
                            </a:spcAft>
                            <a:buClrTx/>
                            <a:buSzTx/>
                            <a:buFontTx/>
                            <a:buNone/>
                            <a:tabLst/>
                          </a:pPr>
                          <a:endParaRPr kumimoji="0" lang="es-MX" sz="1000" b="0" i="0" u="none" strike="noStrike" cap="none" normalizeH="0" dirty="0" smtClean="0">
                            <a:ln>
                              <a:noFill/>
                            </a:ln>
                            <a:solidFill>
                              <a:schemeClr val="tx1"/>
                            </a:solidFill>
                            <a:effectLst/>
                            <a:latin typeface="Arial" pitchFamily="34" charset="0"/>
                            <a:cs typeface="Arial" pitchFamily="34" charset="0"/>
                          </a:endParaRPr>
                        </a:p>
                        <a:p>
                          <a:pPr marL="457200" marR="0" lvl="1" indent="0" algn="l" defTabSz="914400" rtl="0" eaLnBrk="1" fontAlgn="base" latinLnBrk="0" hangingPunct="1">
                            <a:lnSpc>
                              <a:spcPct val="100000"/>
                            </a:lnSpc>
                            <a:spcBef>
                              <a:spcPct val="0"/>
                            </a:spcBef>
                            <a:spcAft>
                              <a:spcPct val="0"/>
                            </a:spcAft>
                            <a:buClrTx/>
                            <a:buSzTx/>
                            <a:buFontTx/>
                            <a:buNone/>
                            <a:tabLst/>
                          </a:pPr>
                          <a:endParaRPr kumimoji="0" lang="es-MX" sz="1000" b="0" i="0" u="none" strike="noStrike" cap="none" normalizeH="0" dirty="0" smtClean="0">
                            <a:ln>
                              <a:noFill/>
                            </a:ln>
                            <a:solidFill>
                              <a:schemeClr val="tx1"/>
                            </a:solidFill>
                            <a:effectLst/>
                            <a:latin typeface="Arial" pitchFamily="34" charset="0"/>
                            <a:cs typeface="Arial" pitchFamily="34" charset="0"/>
                          </a:endParaRPr>
                        </a:p>
                        <a:p>
                          <a:pPr marL="4763" marR="0" lvl="1" algn="l" defTabSz="914400" rtl="0" eaLnBrk="1" fontAlgn="base" latinLnBrk="0" hangingPunct="1">
                            <a:lnSpc>
                              <a:spcPct val="100000"/>
                            </a:lnSpc>
                            <a:spcBef>
                              <a:spcPct val="0"/>
                            </a:spcBef>
                            <a:spcAft>
                              <a:spcPct val="0"/>
                            </a:spcAft>
                            <a:buClrTx/>
                            <a:buSzTx/>
                            <a:buFontTx/>
                            <a:buNone/>
                            <a:tabLst/>
                          </a:pPr>
                          <a:r>
                            <a:rPr kumimoji="0" lang="es-MX" sz="1000" b="1" i="0" u="sng" strike="noStrike" cap="none" normalizeH="0" dirty="0" smtClean="0">
                              <a:ln>
                                <a:noFill/>
                              </a:ln>
                              <a:solidFill>
                                <a:schemeClr val="tx1"/>
                              </a:solidFill>
                              <a:effectLst/>
                              <a:latin typeface="Arial" pitchFamily="34" charset="0"/>
                              <a:cs typeface="Arial" pitchFamily="34" charset="0"/>
                            </a:rPr>
                            <a:t>Indicadores de contexto</a:t>
                          </a:r>
                        </a:p>
                        <a:p>
                          <a:pPr marL="455613" marR="0" lvl="1" algn="l" defTabSz="914400" rtl="0" eaLnBrk="1" fontAlgn="base" latinLnBrk="0" hangingPunct="1">
                            <a:lnSpc>
                              <a:spcPct val="100000"/>
                            </a:lnSpc>
                            <a:spcBef>
                              <a:spcPct val="0"/>
                            </a:spcBef>
                            <a:spcAft>
                              <a:spcPct val="0"/>
                            </a:spcAft>
                            <a:buClrTx/>
                            <a:buSzTx/>
                            <a:buFontTx/>
                            <a:buNone/>
                            <a:tabLst/>
                          </a:pPr>
                          <a:r>
                            <a:rPr lang="es-MX" sz="1000" dirty="0" smtClean="0">
                              <a:latin typeface="Arial" pitchFamily="34" charset="0"/>
                              <a:cs typeface="Arial" pitchFamily="34" charset="0"/>
                            </a:rPr>
                            <a:t>Indicadores retomados de fuentes oficiales sobre los aspectos: demográficos, educativos, de salud y nutrición, de participación y de identidad. Los cuales dan una aproximación a las condiciones de </a:t>
                          </a:r>
                          <a:r>
                            <a:rPr lang="es-MX" sz="1000" dirty="0" err="1" smtClean="0">
                              <a:latin typeface="Arial" pitchFamily="34" charset="0"/>
                              <a:cs typeface="Arial" pitchFamily="34" charset="0"/>
                            </a:rPr>
                            <a:t>NNA</a:t>
                          </a:r>
                          <a:r>
                            <a:rPr lang="es-MX" sz="1000" dirty="0" smtClean="0">
                              <a:latin typeface="Arial" pitchFamily="34" charset="0"/>
                              <a:cs typeface="Arial" pitchFamily="34" charset="0"/>
                            </a:rPr>
                            <a:t> en sus distintas etapas de vida.</a:t>
                          </a:r>
                          <a:endParaRPr kumimoji="0" lang="es-MX" sz="1000" i="0" u="none" strike="noStrike" cap="none" normalizeH="0" dirty="0" smtClean="0">
                            <a:ln>
                              <a:noFill/>
                            </a:ln>
                            <a:solidFill>
                              <a:schemeClr val="tx1"/>
                            </a:solidFill>
                            <a:effectLst/>
                            <a:latin typeface="Arial" pitchFamily="34" charset="0"/>
                            <a:cs typeface="Arial" pitchFamily="34" charset="0"/>
                          </a:endParaRPr>
                        </a:p>
                      </a:txBody>
                      <a:useSpRect/>
                    </a:txSp>
                  </a:sp>
                  <a:cxnSp>
                    <a:nvCxnSpPr>
                      <a:cNvPr id="12" name="11 Conector recto"/>
                      <a:cNvCxnSpPr/>
                    </a:nvCxnSpPr>
                    <a:spPr>
                      <a:xfrm>
                        <a:off x="323528" y="5229200"/>
                        <a:ext cx="8496944" cy="0"/>
                      </a:xfrm>
                      <a:prstGeom prst="line">
                        <a:avLst/>
                      </a:prstGeom>
                    </a:spPr>
                    <a:style>
                      <a:lnRef idx="2">
                        <a:schemeClr val="accent6"/>
                      </a:lnRef>
                      <a:fillRef idx="0">
                        <a:schemeClr val="accent6"/>
                      </a:fillRef>
                      <a:effectRef idx="1">
                        <a:schemeClr val="accent6"/>
                      </a:effectRef>
                      <a:fontRef idx="minor">
                        <a:schemeClr val="tx1"/>
                      </a:fontRef>
                    </a:style>
                  </a:cxnSp>
                </lc:lockedCanvas>
              </a:graphicData>
            </a:graphic>
          </wp:inline>
        </w:drawing>
      </w:r>
    </w:p>
    <w:p w:rsidR="00CB1619" w:rsidRDefault="00CB1619" w:rsidP="00CB1619">
      <w:pPr>
        <w:pStyle w:val="Default"/>
        <w:spacing w:after="240" w:line="276" w:lineRule="auto"/>
        <w:jc w:val="both"/>
      </w:pPr>
      <w:r w:rsidRPr="00CB1619">
        <w:t xml:space="preserve">Con base en la </w:t>
      </w:r>
      <w:r>
        <w:t>i</w:t>
      </w:r>
      <w:r w:rsidRPr="00CB1619">
        <w:t>nformación recibida y procesada</w:t>
      </w:r>
      <w:r>
        <w:t xml:space="preserve"> </w:t>
      </w:r>
      <w:r w:rsidRPr="00CB1619">
        <w:t>en el Mecanismo de Seguimiento, la EAPDF emitirá un informe anual sobre los avances realizados por la Administración Pública de la Ciudad de México en la atención a los compromisos de la iniciativa “10XINFANCIA”</w:t>
      </w:r>
      <w:r>
        <w:t xml:space="preserve">. El </w:t>
      </w:r>
      <w:r w:rsidRPr="00CB1619">
        <w:t>informe permitirá al Jefe de Gobierno</w:t>
      </w:r>
      <w:r>
        <w:t xml:space="preserve"> y a los titulares de las dependencias y entidades conocer la actuación conjunta que lleva a cabo el Gobierno de la Ciudad de México en materia de atención a los derechos de niñas niños y adolescentes, así como comunicar a la ciudadanía los avances y retos en la materia.</w:t>
      </w:r>
    </w:p>
    <w:p w:rsidR="00CB1619" w:rsidRPr="00CB1619" w:rsidRDefault="00CB1619" w:rsidP="00CB1619">
      <w:pPr>
        <w:pStyle w:val="Default"/>
        <w:spacing w:after="240" w:line="276" w:lineRule="auto"/>
        <w:jc w:val="both"/>
      </w:pPr>
      <w:r>
        <w:rPr>
          <w:rFonts w:cs="Arial"/>
          <w:b/>
        </w:rPr>
        <w:lastRenderedPageBreak/>
        <w:t>Esquema 3</w:t>
      </w:r>
      <w:r w:rsidRPr="00C24F9D">
        <w:rPr>
          <w:rFonts w:cs="Arial"/>
          <w:b/>
        </w:rPr>
        <w:t xml:space="preserve">. </w:t>
      </w:r>
      <w:r>
        <w:rPr>
          <w:rFonts w:cs="Arial"/>
          <w:b/>
        </w:rPr>
        <w:t>Operación del Mecanismo de Seguimiento</w:t>
      </w:r>
      <w:r w:rsidRPr="00C24F9D">
        <w:rPr>
          <w:rFonts w:cs="Arial"/>
          <w:b/>
        </w:rPr>
        <w:t xml:space="preserve"> </w:t>
      </w:r>
    </w:p>
    <w:p w:rsidR="00D375F0" w:rsidRPr="00093E98" w:rsidRDefault="00E34369" w:rsidP="00093E98">
      <w:pPr>
        <w:jc w:val="both"/>
        <w:rPr>
          <w:rFonts w:ascii="Garamond" w:hAnsi="Garamond" w:cs="Arial"/>
          <w:b/>
          <w:sz w:val="24"/>
          <w:szCs w:val="24"/>
        </w:rPr>
      </w:pPr>
      <w:r w:rsidRPr="00E34369">
        <w:rPr>
          <w:rFonts w:ascii="Garamond" w:hAnsi="Garamond" w:cs="Arial"/>
          <w:b/>
          <w:noProof/>
          <w:sz w:val="24"/>
          <w:szCs w:val="24"/>
          <w:lang w:eastAsia="es-MX"/>
        </w:rPr>
        <w:drawing>
          <wp:inline distT="0" distB="0" distL="0" distR="0">
            <wp:extent cx="5710351" cy="3079699"/>
            <wp:effectExtent l="19050" t="0" r="4649" b="0"/>
            <wp:docPr id="14"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08504" cy="4675004"/>
                      <a:chOff x="35496" y="1788204"/>
                      <a:chExt cx="9108504" cy="4675004"/>
                    </a:xfrm>
                  </a:grpSpPr>
                  <a:grpSp>
                    <a:nvGrpSpPr>
                      <a:cNvPr id="4" name="3 Grupo"/>
                      <a:cNvGrpSpPr/>
                    </a:nvGrpSpPr>
                    <a:grpSpPr>
                      <a:xfrm>
                        <a:off x="35496" y="1788204"/>
                        <a:ext cx="9108504" cy="4675004"/>
                        <a:chOff x="35496" y="1556792"/>
                        <a:chExt cx="9108504" cy="4675004"/>
                      </a:xfrm>
                    </a:grpSpPr>
                    <a:sp>
                      <a:nvSpPr>
                        <a:cNvPr id="5" name="4 Rectángulo"/>
                        <a:cNvSpPr/>
                      </a:nvSpPr>
                      <a:spPr>
                        <a:xfrm>
                          <a:off x="1907704" y="2348880"/>
                          <a:ext cx="7056784" cy="576064"/>
                        </a:xfrm>
                        <a:prstGeom prst="rect">
                          <a:avLst/>
                        </a:prstGeom>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a:p>
                        </a:txBody>
                        <a:useSpRect/>
                      </a:txSp>
                      <a:style>
                        <a:lnRef idx="1">
                          <a:schemeClr val="dk1"/>
                        </a:lnRef>
                        <a:fillRef idx="2">
                          <a:schemeClr val="dk1"/>
                        </a:fillRef>
                        <a:effectRef idx="1">
                          <a:schemeClr val="dk1"/>
                        </a:effectRef>
                        <a:fontRef idx="minor">
                          <a:schemeClr val="dk1"/>
                        </a:fontRef>
                      </a:style>
                    </a:sp>
                    <a:sp>
                      <a:nvSpPr>
                        <a:cNvPr id="6" name="5 CuadroTexto"/>
                        <a:cNvSpPr txBox="1"/>
                      </a:nvSpPr>
                      <a:spPr>
                        <a:xfrm>
                          <a:off x="2195736" y="1556792"/>
                          <a:ext cx="1728192" cy="338554"/>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600" b="1" dirty="0" smtClean="0"/>
                              <a:t>Recopilación</a:t>
                            </a:r>
                            <a:endParaRPr lang="es-MX" sz="1600" b="1" dirty="0"/>
                          </a:p>
                        </a:txBody>
                        <a:useSpRect/>
                      </a:txSp>
                      <a:style>
                        <a:lnRef idx="3">
                          <a:schemeClr val="lt1"/>
                        </a:lnRef>
                        <a:fillRef idx="1">
                          <a:schemeClr val="accent2"/>
                        </a:fillRef>
                        <a:effectRef idx="1">
                          <a:schemeClr val="accent2"/>
                        </a:effectRef>
                        <a:fontRef idx="minor">
                          <a:schemeClr val="lt1"/>
                        </a:fontRef>
                      </a:style>
                    </a:sp>
                    <a:sp>
                      <a:nvSpPr>
                        <a:cNvPr id="7" name="6 CuadroTexto"/>
                        <a:cNvSpPr txBox="1"/>
                      </a:nvSpPr>
                      <a:spPr>
                        <a:xfrm>
                          <a:off x="4644008" y="1556792"/>
                          <a:ext cx="1728192" cy="338554"/>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600" b="1" dirty="0" smtClean="0"/>
                              <a:t>Procesamiento</a:t>
                            </a:r>
                            <a:endParaRPr lang="es-MX" sz="1600" b="1" dirty="0"/>
                          </a:p>
                        </a:txBody>
                        <a:useSpRect/>
                      </a:txSp>
                      <a:style>
                        <a:lnRef idx="3">
                          <a:schemeClr val="lt1"/>
                        </a:lnRef>
                        <a:fillRef idx="1">
                          <a:schemeClr val="accent2"/>
                        </a:fillRef>
                        <a:effectRef idx="1">
                          <a:schemeClr val="accent2"/>
                        </a:effectRef>
                        <a:fontRef idx="minor">
                          <a:schemeClr val="lt1"/>
                        </a:fontRef>
                      </a:style>
                    </a:sp>
                    <a:sp>
                      <a:nvSpPr>
                        <a:cNvPr id="8" name="7 CuadroTexto"/>
                        <a:cNvSpPr txBox="1"/>
                      </a:nvSpPr>
                      <a:spPr>
                        <a:xfrm>
                          <a:off x="7164288" y="1556792"/>
                          <a:ext cx="1728192" cy="338554"/>
                        </a:xfrm>
                        <a:prstGeom prst="rect">
                          <a:avLst/>
                        </a:prstGeom>
                      </a:spPr>
                      <a:txSp>
                        <a:txBody>
                          <a:bodyPr wrap="square" rtlCol="0">
                            <a:sp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600" b="1" dirty="0" smtClean="0"/>
                              <a:t>Resultados</a:t>
                            </a:r>
                            <a:endParaRPr lang="es-MX" sz="1600" b="1" dirty="0"/>
                          </a:p>
                        </a:txBody>
                        <a:useSpRect/>
                      </a:txSp>
                      <a:style>
                        <a:lnRef idx="3">
                          <a:schemeClr val="lt1"/>
                        </a:lnRef>
                        <a:fillRef idx="1">
                          <a:schemeClr val="accent2"/>
                        </a:fillRef>
                        <a:effectRef idx="1">
                          <a:schemeClr val="accent2"/>
                        </a:effectRef>
                        <a:fontRef idx="minor">
                          <a:schemeClr val="lt1"/>
                        </a:fontRef>
                      </a:style>
                    </a:sp>
                    <a:sp>
                      <a:nvSpPr>
                        <a:cNvPr id="9" name="8 CuadroTexto"/>
                        <a:cNvSpPr txBox="1"/>
                      </a:nvSpPr>
                      <a:spPr>
                        <a:xfrm>
                          <a:off x="1907704" y="2996952"/>
                          <a:ext cx="2160240" cy="553998"/>
                        </a:xfrm>
                        <a:prstGeom prst="rect">
                          <a:avLst/>
                        </a:prstGeom>
                        <a:ln w="6350"/>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000" dirty="0" smtClean="0"/>
                              <a:t>Integran la información cualitativa y cuantitativa sobre los programas relacionados con “10xInfancia”</a:t>
                            </a:r>
                          </a:p>
                        </a:txBody>
                        <a:useSpRect/>
                      </a:txSp>
                      <a:style>
                        <a:lnRef idx="2">
                          <a:schemeClr val="accent1"/>
                        </a:lnRef>
                        <a:fillRef idx="1">
                          <a:schemeClr val="lt1"/>
                        </a:fillRef>
                        <a:effectRef idx="0">
                          <a:schemeClr val="accent1"/>
                        </a:effectRef>
                        <a:fontRef idx="minor">
                          <a:schemeClr val="dk1"/>
                        </a:fontRef>
                      </a:style>
                    </a:sp>
                    <a:sp>
                      <a:nvSpPr>
                        <a:cNvPr id="10" name="9 CuadroTexto"/>
                        <a:cNvSpPr txBox="1"/>
                      </a:nvSpPr>
                      <a:spPr>
                        <a:xfrm>
                          <a:off x="1907704" y="4221088"/>
                          <a:ext cx="2160240" cy="400110"/>
                        </a:xfrm>
                        <a:prstGeom prst="rect">
                          <a:avLst/>
                        </a:prstGeom>
                        <a:ln w="6350"/>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dirty="0" smtClean="0"/>
                              <a:t>Envían información periódica a la:</a:t>
                            </a:r>
                          </a:p>
                          <a:p>
                            <a:pPr algn="ctr"/>
                            <a:endParaRPr lang="es-MX" sz="1000" dirty="0" smtClean="0"/>
                          </a:p>
                        </a:txBody>
                        <a:useSpRect/>
                      </a:txSp>
                      <a:style>
                        <a:lnRef idx="2">
                          <a:schemeClr val="accent1"/>
                        </a:lnRef>
                        <a:fillRef idx="1">
                          <a:schemeClr val="lt1"/>
                        </a:fillRef>
                        <a:effectRef idx="0">
                          <a:schemeClr val="accent1"/>
                        </a:effectRef>
                        <a:fontRef idx="minor">
                          <a:schemeClr val="dk1"/>
                        </a:fontRef>
                      </a:style>
                    </a:sp>
                    <a:sp>
                      <a:nvSpPr>
                        <a:cNvPr id="11" name="10 CuadroTexto"/>
                        <a:cNvSpPr txBox="1"/>
                      </a:nvSpPr>
                      <a:spPr>
                        <a:xfrm>
                          <a:off x="4572000" y="2060849"/>
                          <a:ext cx="2016224" cy="246221"/>
                        </a:xfrm>
                        <a:prstGeom prst="rect">
                          <a:avLst/>
                        </a:prstGeom>
                        <a:ln/>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b="1" i="1" dirty="0" smtClean="0"/>
                              <a:t>Escuela de Administración Pública</a:t>
                            </a:r>
                          </a:p>
                        </a:txBody>
                        <a:useSpRect/>
                      </a:txSp>
                      <a:style>
                        <a:lnRef idx="2">
                          <a:schemeClr val="accent4"/>
                        </a:lnRef>
                        <a:fillRef idx="1">
                          <a:schemeClr val="lt1"/>
                        </a:fillRef>
                        <a:effectRef idx="0">
                          <a:schemeClr val="accent4"/>
                        </a:effectRef>
                        <a:fontRef idx="minor">
                          <a:schemeClr val="dk1"/>
                        </a:fontRef>
                      </a:style>
                    </a:sp>
                    <a:sp>
                      <a:nvSpPr>
                        <a:cNvPr id="12" name="11 CuadroTexto"/>
                        <a:cNvSpPr txBox="1"/>
                      </a:nvSpPr>
                      <a:spPr>
                        <a:xfrm>
                          <a:off x="4427984" y="3068960"/>
                          <a:ext cx="2160240" cy="553998"/>
                        </a:xfrm>
                        <a:prstGeom prst="rect">
                          <a:avLst/>
                        </a:prstGeom>
                        <a:ln w="6350"/>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dirty="0" smtClean="0"/>
                              <a:t>Recibe, procesa y analiza la información de los programas y acciones</a:t>
                            </a:r>
                          </a:p>
                        </a:txBody>
                        <a:useSpRect/>
                      </a:txSp>
                      <a:style>
                        <a:lnRef idx="2">
                          <a:schemeClr val="accent1"/>
                        </a:lnRef>
                        <a:fillRef idx="1">
                          <a:schemeClr val="lt1"/>
                        </a:fillRef>
                        <a:effectRef idx="0">
                          <a:schemeClr val="accent1"/>
                        </a:effectRef>
                        <a:fontRef idx="minor">
                          <a:schemeClr val="dk1"/>
                        </a:fontRef>
                      </a:style>
                    </a:sp>
                    <a:sp>
                      <a:nvSpPr>
                        <a:cNvPr id="14" name="13 CuadroTexto"/>
                        <a:cNvSpPr txBox="1"/>
                      </a:nvSpPr>
                      <a:spPr>
                        <a:xfrm>
                          <a:off x="4499992" y="4253026"/>
                          <a:ext cx="2160240" cy="400110"/>
                        </a:xfrm>
                        <a:prstGeom prst="rect">
                          <a:avLst/>
                        </a:prstGeom>
                        <a:ln w="6350"/>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dirty="0" smtClean="0"/>
                              <a:t>Da seguimiento y monitoreo periódico a las políticas públicas</a:t>
                            </a:r>
                          </a:p>
                        </a:txBody>
                        <a:useSpRect/>
                      </a:txSp>
                      <a:style>
                        <a:lnRef idx="2">
                          <a:schemeClr val="accent1"/>
                        </a:lnRef>
                        <a:fillRef idx="1">
                          <a:schemeClr val="lt1"/>
                        </a:fillRef>
                        <a:effectRef idx="0">
                          <a:schemeClr val="accent1"/>
                        </a:effectRef>
                        <a:fontRef idx="minor">
                          <a:schemeClr val="dk1"/>
                        </a:fontRef>
                      </a:style>
                    </a:sp>
                    <a:sp>
                      <a:nvSpPr>
                        <a:cNvPr id="15" name="14 CuadroTexto"/>
                        <a:cNvSpPr txBox="1"/>
                      </a:nvSpPr>
                      <a:spPr>
                        <a:xfrm>
                          <a:off x="2411760" y="2060848"/>
                          <a:ext cx="1296144" cy="246221"/>
                        </a:xfrm>
                        <a:prstGeom prst="rect">
                          <a:avLst/>
                        </a:prstGeom>
                        <a:ln/>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b="1" i="1" dirty="0" smtClean="0"/>
                              <a:t>Dependencias</a:t>
                            </a:r>
                          </a:p>
                        </a:txBody>
                        <a:useSpRect/>
                      </a:txSp>
                      <a:style>
                        <a:lnRef idx="2">
                          <a:schemeClr val="accent4"/>
                        </a:lnRef>
                        <a:fillRef idx="1">
                          <a:schemeClr val="lt1"/>
                        </a:fillRef>
                        <a:effectRef idx="0">
                          <a:schemeClr val="accent4"/>
                        </a:effectRef>
                        <a:fontRef idx="minor">
                          <a:schemeClr val="dk1"/>
                        </a:fontRef>
                      </a:style>
                    </a:sp>
                    <a:sp>
                      <a:nvSpPr>
                        <a:cNvPr id="16" name="15 Flecha derecha"/>
                        <a:cNvSpPr/>
                      </a:nvSpPr>
                      <a:spPr>
                        <a:xfrm rot="5400000">
                          <a:off x="4031940" y="5383959"/>
                          <a:ext cx="360040" cy="144016"/>
                        </a:xfrm>
                        <a:prstGeom prst="rightArrow">
                          <a:avLst/>
                        </a:prstGeom>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CuadroTexto"/>
                        <a:cNvSpPr txBox="1"/>
                      </a:nvSpPr>
                      <a:spPr>
                        <a:xfrm>
                          <a:off x="3563888" y="4987915"/>
                          <a:ext cx="3384376" cy="246221"/>
                        </a:xfrm>
                        <a:prstGeom prst="rect">
                          <a:avLst/>
                        </a:prstGeom>
                        <a:ln/>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b="1" dirty="0" smtClean="0"/>
                              <a:t>Retroalimentación y aprendizaje sobre:</a:t>
                            </a:r>
                          </a:p>
                        </a:txBody>
                        <a:useSpRect/>
                      </a:txSp>
                      <a:style>
                        <a:lnRef idx="2">
                          <a:schemeClr val="accent2"/>
                        </a:lnRef>
                        <a:fillRef idx="1">
                          <a:schemeClr val="lt1"/>
                        </a:fillRef>
                        <a:effectRef idx="0">
                          <a:schemeClr val="accent2"/>
                        </a:effectRef>
                        <a:fontRef idx="minor">
                          <a:schemeClr val="dk1"/>
                        </a:fontRef>
                      </a:style>
                    </a:sp>
                    <a:sp>
                      <a:nvSpPr>
                        <a:cNvPr id="18" name="17 CuadroTexto"/>
                        <a:cNvSpPr txBox="1"/>
                      </a:nvSpPr>
                      <a:spPr>
                        <a:xfrm>
                          <a:off x="6948264" y="2996952"/>
                          <a:ext cx="2160240" cy="707886"/>
                        </a:xfrm>
                        <a:prstGeom prst="rect">
                          <a:avLst/>
                        </a:prstGeom>
                        <a:ln w="6350"/>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dirty="0" smtClean="0"/>
                              <a:t>Informa sobre el avance de los compromisos de “10XInfancia”, así como de las metas establecidas en los programas y acciones</a:t>
                            </a:r>
                          </a:p>
                        </a:txBody>
                        <a:useSpRect/>
                      </a:txSp>
                      <a:style>
                        <a:lnRef idx="2">
                          <a:schemeClr val="accent1"/>
                        </a:lnRef>
                        <a:fillRef idx="1">
                          <a:schemeClr val="lt1"/>
                        </a:fillRef>
                        <a:effectRef idx="0">
                          <a:schemeClr val="accent1"/>
                        </a:effectRef>
                        <a:fontRef idx="minor">
                          <a:schemeClr val="dk1"/>
                        </a:fontRef>
                      </a:style>
                    </a:sp>
                    <a:sp>
                      <a:nvSpPr>
                        <a:cNvPr id="20" name="19 CuadroTexto"/>
                        <a:cNvSpPr txBox="1"/>
                      </a:nvSpPr>
                      <a:spPr>
                        <a:xfrm>
                          <a:off x="6948264" y="4221088"/>
                          <a:ext cx="2160240" cy="400110"/>
                        </a:xfrm>
                        <a:prstGeom prst="rect">
                          <a:avLst/>
                        </a:prstGeom>
                        <a:ln w="6350"/>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dirty="0" smtClean="0"/>
                              <a:t>Que en relación a su </a:t>
                            </a:r>
                          </a:p>
                          <a:p>
                            <a:pPr algn="ctr"/>
                            <a:r>
                              <a:rPr lang="es-MX" sz="1000" dirty="0" smtClean="0"/>
                              <a:t>efectividad generen una:</a:t>
                            </a:r>
                          </a:p>
                        </a:txBody>
                        <a:useSpRect/>
                      </a:txSp>
                      <a:style>
                        <a:lnRef idx="2">
                          <a:schemeClr val="accent1"/>
                        </a:lnRef>
                        <a:fillRef idx="1">
                          <a:schemeClr val="lt1"/>
                        </a:fillRef>
                        <a:effectRef idx="0">
                          <a:schemeClr val="accent1"/>
                        </a:effectRef>
                        <a:fontRef idx="minor">
                          <a:schemeClr val="dk1"/>
                        </a:fontRef>
                      </a:style>
                    </a:sp>
                    <a:cxnSp>
                      <a:nvCxnSpPr>
                        <a:cNvPr id="21" name="20 Forma"/>
                        <a:cNvCxnSpPr>
                          <a:stCxn id="20" idx="2"/>
                          <a:endCxn id="17" idx="3"/>
                        </a:cNvCxnSpPr>
                      </a:nvCxnSpPr>
                      <a:spPr>
                        <a:xfrm rot="5400000">
                          <a:off x="7243410" y="4326052"/>
                          <a:ext cx="489828" cy="1080120"/>
                        </a:xfrm>
                        <a:prstGeom prst="bentConnector2">
                          <a:avLst/>
                        </a:prstGeom>
                        <a:ln>
                          <a:tailEnd type="arrow"/>
                        </a:ln>
                      </a:spPr>
                      <a:style>
                        <a:lnRef idx="3">
                          <a:schemeClr val="accent1"/>
                        </a:lnRef>
                        <a:fillRef idx="0">
                          <a:schemeClr val="accent1"/>
                        </a:fillRef>
                        <a:effectRef idx="2">
                          <a:schemeClr val="accent1"/>
                        </a:effectRef>
                        <a:fontRef idx="minor">
                          <a:schemeClr val="tx1"/>
                        </a:fontRef>
                      </a:style>
                    </a:cxnSp>
                    <a:sp>
                      <a:nvSpPr>
                        <a:cNvPr id="22" name="21 Flecha derecha"/>
                        <a:cNvSpPr/>
                      </a:nvSpPr>
                      <a:spPr>
                        <a:xfrm rot="16200000" flipV="1">
                          <a:off x="6192180" y="5383959"/>
                          <a:ext cx="360040" cy="144016"/>
                        </a:xfrm>
                        <a:prstGeom prst="rightArrow">
                          <a:avLst/>
                        </a:prstGeom>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CuadroTexto"/>
                        <a:cNvSpPr txBox="1"/>
                      </a:nvSpPr>
                      <a:spPr>
                        <a:xfrm>
                          <a:off x="3491880" y="5677798"/>
                          <a:ext cx="3528392" cy="553998"/>
                        </a:xfrm>
                        <a:prstGeom prst="rect">
                          <a:avLst/>
                        </a:prstGeom>
                        <a:ln w="6350"/>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000" dirty="0" smtClean="0"/>
                              <a:t>El diseño e implementación de los programas y acciones en cuanto: ordenamiento y manejo de información, establecimiento de metas, formulación de indicadores, etc.</a:t>
                            </a:r>
                          </a:p>
                        </a:txBody>
                        <a:useSpRect/>
                      </a:txSp>
                      <a:style>
                        <a:lnRef idx="2">
                          <a:schemeClr val="accent1"/>
                        </a:lnRef>
                        <a:fillRef idx="1">
                          <a:schemeClr val="lt1"/>
                        </a:fillRef>
                        <a:effectRef idx="0">
                          <a:schemeClr val="accent1"/>
                        </a:effectRef>
                        <a:fontRef idx="minor">
                          <a:schemeClr val="dk1"/>
                        </a:fontRef>
                      </a:style>
                    </a:sp>
                    <a:sp>
                      <a:nvSpPr>
                        <a:cNvPr id="24" name="23 Flecha derecha"/>
                        <a:cNvSpPr/>
                      </a:nvSpPr>
                      <a:spPr>
                        <a:xfrm rot="5400000">
                          <a:off x="5320390" y="3889358"/>
                          <a:ext cx="519444" cy="144016"/>
                        </a:xfrm>
                        <a:prstGeom prst="rightArrow">
                          <a:avLst/>
                        </a:prstGeom>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CuadroTexto"/>
                        <a:cNvSpPr txBox="1"/>
                      </a:nvSpPr>
                      <a:spPr>
                        <a:xfrm>
                          <a:off x="35496" y="2492896"/>
                          <a:ext cx="1368152" cy="338554"/>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600" b="1" dirty="0" smtClean="0"/>
                              <a:t>Instrumentos</a:t>
                            </a:r>
                            <a:endParaRPr lang="es-MX" sz="1600" b="1" dirty="0"/>
                          </a:p>
                        </a:txBody>
                        <a:useSpRect/>
                      </a:txSp>
                      <a:style>
                        <a:lnRef idx="1">
                          <a:schemeClr val="dk1"/>
                        </a:lnRef>
                        <a:fillRef idx="2">
                          <a:schemeClr val="dk1"/>
                        </a:fillRef>
                        <a:effectRef idx="1">
                          <a:schemeClr val="dk1"/>
                        </a:effectRef>
                        <a:fontRef idx="minor">
                          <a:schemeClr val="dk1"/>
                        </a:fontRef>
                      </a:style>
                    </a:sp>
                    <a:sp>
                      <a:nvSpPr>
                        <a:cNvPr id="26" name="25 Flecha derecha"/>
                        <a:cNvSpPr/>
                      </a:nvSpPr>
                      <a:spPr>
                        <a:xfrm rot="5400000">
                          <a:off x="2591780" y="3825044"/>
                          <a:ext cx="648072" cy="144016"/>
                        </a:xfrm>
                        <a:prstGeom prst="rightArrow">
                          <a:avLst/>
                        </a:prstGeom>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ln w="28575">
                                <a:solidFill>
                                  <a:schemeClr val="tx1"/>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Flecha derecha"/>
                        <a:cNvSpPr/>
                      </a:nvSpPr>
                      <a:spPr>
                        <a:xfrm rot="5400000">
                          <a:off x="7848364" y="3897052"/>
                          <a:ext cx="504056" cy="144016"/>
                        </a:xfrm>
                        <a:prstGeom prst="rightArrow">
                          <a:avLst/>
                        </a:prstGeom>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27 CuadroTexto"/>
                        <a:cNvSpPr txBox="1"/>
                      </a:nvSpPr>
                      <a:spPr>
                        <a:xfrm>
                          <a:off x="2195736" y="2420888"/>
                          <a:ext cx="1512168" cy="400110"/>
                        </a:xfrm>
                        <a:prstGeom prst="rect">
                          <a:avLst/>
                        </a:prstGeom>
                        <a:ln w="9525"/>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MX" sz="1000" dirty="0" smtClean="0">
                                <a:latin typeface="+mn-lt"/>
                              </a:rPr>
                              <a:t>Cédula de integración de información (CI)</a:t>
                            </a:r>
                            <a:endParaRPr lang="es-MX" sz="1000" dirty="0">
                              <a:latin typeface="+mn-lt"/>
                            </a:endParaRPr>
                          </a:p>
                        </a:txBody>
                        <a:useSpRect/>
                      </a:txSp>
                      <a:style>
                        <a:lnRef idx="2">
                          <a:schemeClr val="dk1"/>
                        </a:lnRef>
                        <a:fillRef idx="1">
                          <a:schemeClr val="lt1"/>
                        </a:fillRef>
                        <a:effectRef idx="0">
                          <a:schemeClr val="dk1"/>
                        </a:effectRef>
                        <a:fontRef idx="minor">
                          <a:schemeClr val="dk1"/>
                        </a:fontRef>
                      </a:style>
                    </a:sp>
                    <a:sp>
                      <a:nvSpPr>
                        <a:cNvPr id="29" name="28 CuadroTexto"/>
                        <a:cNvSpPr txBox="1"/>
                      </a:nvSpPr>
                      <a:spPr>
                        <a:xfrm>
                          <a:off x="4788024" y="2497832"/>
                          <a:ext cx="1512168" cy="246221"/>
                        </a:xfrm>
                        <a:prstGeom prst="rect">
                          <a:avLst/>
                        </a:prstGeom>
                        <a:ln w="9525"/>
                      </a:spPr>
                      <a:txSp>
                        <a:txBody>
                          <a:bodyPr wrap="square" rtlCol="0" anchor="ctr">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dirty="0" smtClean="0">
                                <a:latin typeface="+mn-lt"/>
                              </a:rPr>
                              <a:t>Indicadores</a:t>
                            </a:r>
                          </a:p>
                        </a:txBody>
                        <a:useSpRect/>
                      </a:txSp>
                      <a:style>
                        <a:lnRef idx="2">
                          <a:schemeClr val="dk1"/>
                        </a:lnRef>
                        <a:fillRef idx="1">
                          <a:schemeClr val="lt1"/>
                        </a:fillRef>
                        <a:effectRef idx="0">
                          <a:schemeClr val="dk1"/>
                        </a:effectRef>
                        <a:fontRef idx="minor">
                          <a:schemeClr val="dk1"/>
                        </a:fontRef>
                      </a:style>
                    </a:sp>
                    <a:sp>
                      <a:nvSpPr>
                        <a:cNvPr id="30" name="29 CuadroTexto"/>
                        <a:cNvSpPr txBox="1"/>
                      </a:nvSpPr>
                      <a:spPr>
                        <a:xfrm>
                          <a:off x="7380312" y="2497832"/>
                          <a:ext cx="1512168" cy="246221"/>
                        </a:xfrm>
                        <a:prstGeom prst="rect">
                          <a:avLst/>
                        </a:prstGeom>
                        <a:ln w="9525"/>
                      </a:spPr>
                      <a:txSp>
                        <a:txBody>
                          <a:bodyPr wrap="square" rtlCol="0" anchor="ctr">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dirty="0" smtClean="0">
                                <a:latin typeface="+mn-lt"/>
                              </a:rPr>
                              <a:t>Informe de </a:t>
                            </a:r>
                            <a:r>
                              <a:rPr lang="es-MX" sz="1000" dirty="0" smtClean="0"/>
                              <a:t>avances</a:t>
                            </a:r>
                            <a:endParaRPr lang="es-MX" sz="1000" dirty="0" smtClean="0">
                              <a:latin typeface="+mn-lt"/>
                            </a:endParaRPr>
                          </a:p>
                        </a:txBody>
                        <a:useSpRect/>
                      </a:txSp>
                      <a:style>
                        <a:lnRef idx="2">
                          <a:schemeClr val="dk1"/>
                        </a:lnRef>
                        <a:fillRef idx="1">
                          <a:schemeClr val="lt1"/>
                        </a:fillRef>
                        <a:effectRef idx="0">
                          <a:schemeClr val="dk1"/>
                        </a:effectRef>
                        <a:fontRef idx="minor">
                          <a:schemeClr val="dk1"/>
                        </a:fontRef>
                      </a:style>
                    </a:sp>
                    <a:cxnSp>
                      <a:nvCxnSpPr>
                        <a:cNvPr id="31" name="30 Conector angular"/>
                        <a:cNvCxnSpPr>
                          <a:stCxn id="10" idx="3"/>
                          <a:endCxn id="11" idx="1"/>
                        </a:cNvCxnSpPr>
                      </a:nvCxnSpPr>
                      <a:spPr>
                        <a:xfrm flipV="1">
                          <a:off x="4067944" y="2183960"/>
                          <a:ext cx="504056" cy="2237183"/>
                        </a:xfrm>
                        <a:prstGeom prst="bentConnector3">
                          <a:avLst>
                            <a:gd name="adj1" fmla="val 50000"/>
                          </a:avLst>
                        </a:prstGeom>
                        <a:ln>
                          <a:tailEnd type="arrow"/>
                        </a:ln>
                      </a:spPr>
                      <a:style>
                        <a:lnRef idx="3">
                          <a:schemeClr val="accent1"/>
                        </a:lnRef>
                        <a:fillRef idx="0">
                          <a:schemeClr val="accent1"/>
                        </a:fillRef>
                        <a:effectRef idx="2">
                          <a:schemeClr val="accent1"/>
                        </a:effectRef>
                        <a:fontRef idx="minor">
                          <a:schemeClr val="tx1"/>
                        </a:fontRef>
                      </a:style>
                    </a:cxnSp>
                    <a:sp>
                      <a:nvSpPr>
                        <a:cNvPr id="32" name="31 CuadroTexto"/>
                        <a:cNvSpPr txBox="1"/>
                      </a:nvSpPr>
                      <a:spPr>
                        <a:xfrm>
                          <a:off x="7164288" y="2030651"/>
                          <a:ext cx="1979712" cy="246221"/>
                        </a:xfrm>
                        <a:prstGeom prst="rect">
                          <a:avLst/>
                        </a:prstGeom>
                        <a:ln/>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000" b="1" i="1" dirty="0" smtClean="0"/>
                              <a:t>Escuela de Administración Pública</a:t>
                            </a:r>
                          </a:p>
                        </a:txBody>
                        <a:useSpRect/>
                      </a:txSp>
                      <a:style>
                        <a:lnRef idx="2">
                          <a:schemeClr val="accent4"/>
                        </a:lnRef>
                        <a:fillRef idx="1">
                          <a:schemeClr val="lt1"/>
                        </a:fillRef>
                        <a:effectRef idx="0">
                          <a:schemeClr val="accent4"/>
                        </a:effectRef>
                        <a:fontRef idx="minor">
                          <a:schemeClr val="dk1"/>
                        </a:fontRef>
                      </a:style>
                    </a:sp>
                    <a:cxnSp>
                      <a:nvCxnSpPr>
                        <a:cNvPr id="33" name="32 Conector angular"/>
                        <a:cNvCxnSpPr>
                          <a:stCxn id="14" idx="3"/>
                          <a:endCxn id="32" idx="1"/>
                        </a:cNvCxnSpPr>
                      </a:nvCxnSpPr>
                      <a:spPr>
                        <a:xfrm flipV="1">
                          <a:off x="6660232" y="2153762"/>
                          <a:ext cx="504056" cy="2299319"/>
                        </a:xfrm>
                        <a:prstGeom prst="bentConnector3">
                          <a:avLst>
                            <a:gd name="adj1" fmla="val 50000"/>
                          </a:avLst>
                        </a:prstGeom>
                        <a:ln>
                          <a:tailEnd type="arrow"/>
                        </a:ln>
                      </a:spPr>
                      <a:style>
                        <a:lnRef idx="3">
                          <a:schemeClr val="accent1"/>
                        </a:lnRef>
                        <a:fillRef idx="0">
                          <a:schemeClr val="accent1"/>
                        </a:fillRef>
                        <a:effectRef idx="2">
                          <a:schemeClr val="accent1"/>
                        </a:effectRef>
                        <a:fontRef idx="minor">
                          <a:schemeClr val="tx1"/>
                        </a:fontRef>
                      </a:style>
                    </a:cxnSp>
                    <a:cxnSp>
                      <a:nvCxnSpPr>
                        <a:cNvPr id="34" name="33 Conector angular"/>
                        <a:cNvCxnSpPr>
                          <a:stCxn id="17" idx="1"/>
                          <a:endCxn id="6" idx="1"/>
                        </a:cNvCxnSpPr>
                      </a:nvCxnSpPr>
                      <a:spPr>
                        <a:xfrm rot="10800000">
                          <a:off x="2015888" y="1726070"/>
                          <a:ext cx="1548000" cy="3384957"/>
                        </a:xfrm>
                        <a:prstGeom prst="bentConnector3">
                          <a:avLst>
                            <a:gd name="adj1" fmla="val 116709"/>
                          </a:avLst>
                        </a:prstGeom>
                        <a:ln>
                          <a:tailEnd type="arrow"/>
                        </a:ln>
                      </a:spPr>
                      <a:style>
                        <a:lnRef idx="3">
                          <a:schemeClr val="accent1"/>
                        </a:lnRef>
                        <a:fillRef idx="0">
                          <a:schemeClr val="accent1"/>
                        </a:fillRef>
                        <a:effectRef idx="2">
                          <a:schemeClr val="accent1"/>
                        </a:effectRef>
                        <a:fontRef idx="minor">
                          <a:schemeClr val="tx1"/>
                        </a:fontRef>
                      </a:style>
                    </a:cxnSp>
                    <a:sp>
                      <a:nvSpPr>
                        <a:cNvPr id="35" name="34 Flecha derecha"/>
                        <a:cNvSpPr/>
                      </a:nvSpPr>
                      <a:spPr>
                        <a:xfrm>
                          <a:off x="1475656" y="2348880"/>
                          <a:ext cx="216024" cy="576064"/>
                        </a:xfrm>
                        <a:prstGeom prst="rightArrow">
                          <a:avLst/>
                        </a:prstGeom>
                      </a:spPr>
                      <a:txSp>
                        <a:txBody>
                          <a:bodyPr rtlCol="0" anchor="ct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MX"/>
                          </a:p>
                        </a:txBody>
                        <a:useSpRect/>
                      </a:txSp>
                      <a:style>
                        <a:lnRef idx="1">
                          <a:schemeClr val="dk1"/>
                        </a:lnRef>
                        <a:fillRef idx="2">
                          <a:schemeClr val="dk1"/>
                        </a:fillRef>
                        <a:effectRef idx="1">
                          <a:schemeClr val="dk1"/>
                        </a:effectRef>
                        <a:fontRef idx="minor">
                          <a:schemeClr val="dk1"/>
                        </a:fontRef>
                      </a:style>
                    </a:sp>
                    <a:sp>
                      <a:nvSpPr>
                        <a:cNvPr id="36" name="35 Flecha a la derecha con bandas"/>
                        <a:cNvSpPr/>
                      </a:nvSpPr>
                      <a:spPr>
                        <a:xfrm>
                          <a:off x="3995936" y="1556792"/>
                          <a:ext cx="576064" cy="360040"/>
                        </a:xfrm>
                        <a:prstGeom prst="stripedRight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3"/>
                        </a:lnRef>
                        <a:fillRef idx="3">
                          <a:schemeClr val="accent3"/>
                        </a:fillRef>
                        <a:effectRef idx="3">
                          <a:schemeClr val="accent3"/>
                        </a:effectRef>
                        <a:fontRef idx="minor">
                          <a:schemeClr val="lt1"/>
                        </a:fontRef>
                      </a:style>
                    </a:sp>
                    <a:sp>
                      <a:nvSpPr>
                        <a:cNvPr id="37" name="36 Flecha a la derecha con bandas"/>
                        <a:cNvSpPr/>
                      </a:nvSpPr>
                      <a:spPr>
                        <a:xfrm>
                          <a:off x="6516216" y="1556792"/>
                          <a:ext cx="576064" cy="360040"/>
                        </a:xfrm>
                        <a:prstGeom prst="stripedRight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3"/>
                        </a:lnRef>
                        <a:fillRef idx="3">
                          <a:schemeClr val="accent3"/>
                        </a:fillRef>
                        <a:effectRef idx="3">
                          <a:schemeClr val="accent3"/>
                        </a:effectRef>
                        <a:fontRef idx="minor">
                          <a:schemeClr val="lt1"/>
                        </a:fontRef>
                      </a:style>
                    </a:sp>
                    <a:sp>
                      <a:nvSpPr>
                        <a:cNvPr id="38" name="37 CuadroTexto"/>
                        <a:cNvSpPr txBox="1"/>
                      </a:nvSpPr>
                      <a:spPr>
                        <a:xfrm>
                          <a:off x="2555776" y="3697287"/>
                          <a:ext cx="720080" cy="307777"/>
                        </a:xfrm>
                        <a:prstGeom prst="rect">
                          <a:avLst/>
                        </a:prstGeom>
                      </a:spPr>
                      <a:txSp>
                        <a:txBody>
                          <a:bodyPr wrap="square" rtlCol="0">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MX" sz="1400" b="1" dirty="0" smtClean="0"/>
                              <a:t>Enlace</a:t>
                            </a:r>
                            <a:endParaRPr lang="es-MX" sz="1400" b="1" dirty="0"/>
                          </a:p>
                        </a:txBody>
                        <a:useSpRect/>
                      </a:txSp>
                      <a:style>
                        <a:lnRef idx="2">
                          <a:schemeClr val="accent2"/>
                        </a:lnRef>
                        <a:fillRef idx="1">
                          <a:schemeClr val="lt1"/>
                        </a:fillRef>
                        <a:effectRef idx="0">
                          <a:schemeClr val="accent2"/>
                        </a:effectRef>
                        <a:fontRef idx="minor">
                          <a:schemeClr val="dk1"/>
                        </a:fontRef>
                      </a:style>
                    </a:sp>
                  </a:grpSp>
                </lc:lockedCanvas>
              </a:graphicData>
            </a:graphic>
          </wp:inline>
        </w:drawing>
      </w:r>
    </w:p>
    <w:p w:rsidR="00017953" w:rsidRDefault="00017953" w:rsidP="00017953">
      <w:pPr>
        <w:jc w:val="both"/>
        <w:rPr>
          <w:rFonts w:ascii="Garamond" w:hAnsi="Garamond" w:cs="Arial"/>
          <w:sz w:val="24"/>
          <w:szCs w:val="24"/>
        </w:rPr>
      </w:pPr>
      <w:r w:rsidRPr="00017953">
        <w:rPr>
          <w:rFonts w:ascii="Garamond" w:hAnsi="Garamond" w:cs="Arial"/>
          <w:sz w:val="24"/>
          <w:szCs w:val="24"/>
        </w:rPr>
        <w:t>Para la presentación de los resultados de los programas y las acciones incorporadas en el mecanismo de seguimiento, se realizó una agrupación de la información en cuatro categorías de derechos, establecidas en la Convención de los Derechos del Niño: a) Supervivencia, b) Desarrollo, c) Protección y, d) Participación.</w:t>
      </w:r>
      <w:r>
        <w:rPr>
          <w:rFonts w:ascii="Garamond" w:hAnsi="Garamond" w:cs="Arial"/>
          <w:sz w:val="24"/>
          <w:szCs w:val="24"/>
        </w:rPr>
        <w:t xml:space="preserve"> </w:t>
      </w:r>
      <w:r w:rsidRPr="00017953">
        <w:rPr>
          <w:rFonts w:ascii="Garamond" w:hAnsi="Garamond" w:cs="Arial"/>
          <w:sz w:val="24"/>
          <w:szCs w:val="24"/>
        </w:rPr>
        <w:t xml:space="preserve">Cada una de estas categorías contiene un conjunto de derechos, mismos que sirvieron para alinear los compromisos de la iniciativa “10XInfancia”. </w:t>
      </w:r>
    </w:p>
    <w:p w:rsidR="00CB1619" w:rsidRDefault="00017953" w:rsidP="00017953">
      <w:pPr>
        <w:jc w:val="both"/>
        <w:rPr>
          <w:rFonts w:ascii="Garamond" w:hAnsi="Garamond" w:cs="Arial"/>
          <w:sz w:val="24"/>
          <w:szCs w:val="24"/>
        </w:rPr>
      </w:pPr>
      <w:r>
        <w:rPr>
          <w:rFonts w:ascii="Garamond" w:hAnsi="Garamond" w:cs="Arial"/>
          <w:noProof/>
          <w:sz w:val="24"/>
          <w:szCs w:val="24"/>
          <w:lang w:eastAsia="es-MX"/>
        </w:rPr>
        <w:drawing>
          <wp:inline distT="0" distB="0" distL="0" distR="0">
            <wp:extent cx="5413248" cy="3070841"/>
            <wp:effectExtent l="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21652" cy="3075608"/>
                    </a:xfrm>
                    <a:prstGeom prst="rect">
                      <a:avLst/>
                    </a:prstGeom>
                    <a:noFill/>
                  </pic:spPr>
                </pic:pic>
              </a:graphicData>
            </a:graphic>
          </wp:inline>
        </w:drawing>
      </w:r>
    </w:p>
    <w:p w:rsidR="00164109" w:rsidRPr="00164109" w:rsidRDefault="00164109" w:rsidP="000B7209">
      <w:pPr>
        <w:jc w:val="both"/>
        <w:rPr>
          <w:rFonts w:ascii="Garamond" w:hAnsi="Garamond" w:cs="Arial"/>
          <w:b/>
          <w:sz w:val="24"/>
          <w:szCs w:val="24"/>
        </w:rPr>
      </w:pPr>
      <w:r w:rsidRPr="00164109">
        <w:rPr>
          <w:rFonts w:ascii="Garamond" w:hAnsi="Garamond" w:cs="Arial"/>
          <w:b/>
          <w:sz w:val="24"/>
          <w:szCs w:val="24"/>
        </w:rPr>
        <w:lastRenderedPageBreak/>
        <w:t>Resultados preliminares:</w:t>
      </w:r>
    </w:p>
    <w:p w:rsidR="00164109" w:rsidRDefault="00164109" w:rsidP="000B7209">
      <w:pPr>
        <w:jc w:val="both"/>
        <w:rPr>
          <w:rFonts w:ascii="Garamond" w:hAnsi="Garamond" w:cs="Arial"/>
          <w:sz w:val="24"/>
          <w:szCs w:val="24"/>
        </w:rPr>
      </w:pPr>
      <w:r w:rsidRPr="00164109">
        <w:rPr>
          <w:rFonts w:ascii="Garamond" w:hAnsi="Garamond" w:cs="Arial"/>
          <w:noProof/>
          <w:sz w:val="24"/>
          <w:szCs w:val="24"/>
          <w:lang w:eastAsia="es-MX"/>
        </w:rPr>
        <w:drawing>
          <wp:inline distT="0" distB="0" distL="0" distR="0">
            <wp:extent cx="5612130" cy="1790700"/>
            <wp:effectExtent l="19050" t="0" r="7620" b="0"/>
            <wp:docPr id="16" name="Obje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4046" cy="2595078"/>
                      <a:chOff x="107504" y="2207766"/>
                      <a:chExt cx="8134046" cy="2595078"/>
                    </a:xfrm>
                  </a:grpSpPr>
                  <a:sp>
                    <a:nvSpPr>
                      <a:cNvPr id="2" name="Rectángulo 1"/>
                      <a:cNvSpPr/>
                    </a:nvSpPr>
                    <a:spPr>
                      <a:xfrm>
                        <a:off x="899592" y="2207766"/>
                        <a:ext cx="7341958" cy="1077218"/>
                      </a:xfrm>
                      <a:prstGeom prst="rect">
                        <a:avLst/>
                      </a:prstGeom>
                    </a:spPr>
                    <a:txSp>
                      <a:txBody>
                        <a:bodyPr wrap="square">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es-MX" sz="1600" dirty="0">
                              <a:latin typeface="Arial" panose="020B0604020202020204" pitchFamily="34" charset="0"/>
                              <a:ea typeface="Arial" panose="020B0604020202020204" pitchFamily="34" charset="0"/>
                              <a:cs typeface="Arial" panose="020B0604020202020204" pitchFamily="34" charset="0"/>
                            </a:rPr>
                            <a:t>En el Mecanismo de Seguimiento </a:t>
                          </a:r>
                          <a:r>
                            <a:rPr lang="es-MX" sz="1600" dirty="0" smtClean="0">
                              <a:latin typeface="Arial" panose="020B0604020202020204" pitchFamily="34" charset="0"/>
                              <a:ea typeface="Arial" panose="020B0604020202020204" pitchFamily="34" charset="0"/>
                              <a:cs typeface="Arial" panose="020B0604020202020204" pitchFamily="34" charset="0"/>
                            </a:rPr>
                            <a:t>de la iniciativa </a:t>
                          </a:r>
                          <a:r>
                            <a:rPr lang="es-MX" sz="1600" dirty="0">
                              <a:latin typeface="Arial" panose="020B0604020202020204" pitchFamily="34" charset="0"/>
                              <a:ea typeface="Arial" panose="020B0604020202020204" pitchFamily="34" charset="0"/>
                              <a:cs typeface="Arial" panose="020B0604020202020204" pitchFamily="34" charset="0"/>
                            </a:rPr>
                            <a:t>“</a:t>
                          </a:r>
                          <a:r>
                            <a:rPr lang="es-MX" sz="1600" dirty="0" smtClean="0">
                              <a:latin typeface="Arial" panose="020B0604020202020204" pitchFamily="34" charset="0"/>
                              <a:ea typeface="Arial" panose="020B0604020202020204" pitchFamily="34" charset="0"/>
                              <a:cs typeface="Arial" panose="020B0604020202020204" pitchFamily="34" charset="0"/>
                            </a:rPr>
                            <a:t>10XInfancia</a:t>
                          </a:r>
                          <a:r>
                            <a:rPr lang="es-MX" sz="1600" dirty="0">
                              <a:latin typeface="Arial" panose="020B0604020202020204" pitchFamily="34" charset="0"/>
                              <a:ea typeface="Arial" panose="020B0604020202020204" pitchFamily="34" charset="0"/>
                              <a:cs typeface="Arial" panose="020B0604020202020204" pitchFamily="34" charset="0"/>
                            </a:rPr>
                            <a:t>” participan </a:t>
                          </a:r>
                          <a:r>
                            <a:rPr lang="es-MX" sz="1600" b="1" dirty="0">
                              <a:latin typeface="Arial" panose="020B0604020202020204" pitchFamily="34" charset="0"/>
                              <a:ea typeface="Arial" panose="020B0604020202020204" pitchFamily="34" charset="0"/>
                              <a:cs typeface="Arial" panose="020B0604020202020204" pitchFamily="34" charset="0"/>
                            </a:rPr>
                            <a:t>21 Entes del Gobierno de la Ciudad de </a:t>
                          </a:r>
                          <a:r>
                            <a:rPr lang="es-MX" sz="1600" b="1" dirty="0" smtClean="0">
                              <a:latin typeface="Arial" panose="020B0604020202020204" pitchFamily="34" charset="0"/>
                              <a:ea typeface="Arial" panose="020B0604020202020204" pitchFamily="34" charset="0"/>
                              <a:cs typeface="Arial" panose="020B0604020202020204" pitchFamily="34" charset="0"/>
                            </a:rPr>
                            <a:t>México</a:t>
                          </a:r>
                          <a:r>
                            <a:rPr lang="es-MX" sz="1600" dirty="0" smtClean="0">
                              <a:latin typeface="Arial" panose="020B0604020202020204" pitchFamily="34" charset="0"/>
                              <a:ea typeface="Arial" panose="020B0604020202020204" pitchFamily="34" charset="0"/>
                              <a:cs typeface="Arial" panose="020B0604020202020204" pitchFamily="34" charset="0"/>
                            </a:rPr>
                            <a:t> </a:t>
                          </a:r>
                          <a:r>
                            <a:rPr lang="es-MX" sz="1600" dirty="0">
                              <a:latin typeface="Arial" panose="020B0604020202020204" pitchFamily="34" charset="0"/>
                              <a:ea typeface="Arial" panose="020B0604020202020204" pitchFamily="34" charset="0"/>
                              <a:cs typeface="Arial" panose="020B0604020202020204" pitchFamily="34" charset="0"/>
                            </a:rPr>
                            <a:t>y en conjunto reportan un total de </a:t>
                          </a:r>
                          <a:r>
                            <a:rPr lang="es-MX" sz="1600" b="1" dirty="0" smtClean="0">
                              <a:latin typeface="Arial" panose="020B0604020202020204" pitchFamily="34" charset="0"/>
                              <a:ea typeface="Arial" panose="020B0604020202020204" pitchFamily="34" charset="0"/>
                              <a:cs typeface="Arial" panose="020B0604020202020204" pitchFamily="34" charset="0"/>
                            </a:rPr>
                            <a:t>70 acciones*, </a:t>
                          </a:r>
                          <a:r>
                            <a:rPr lang="es-MX" sz="1600" dirty="0" smtClean="0">
                              <a:latin typeface="Arial" panose="020B0604020202020204" pitchFamily="34" charset="0"/>
                              <a:ea typeface="Arial" panose="020B0604020202020204" pitchFamily="34" charset="0"/>
                              <a:cs typeface="Arial" panose="020B0604020202020204" pitchFamily="34" charset="0"/>
                            </a:rPr>
                            <a:t>de las cuales el 69% forman parte de programas públicos. El número total de programas reportados fue de 28.</a:t>
                          </a:r>
                          <a:endParaRPr lang="es-MX" sz="1600" dirty="0">
                            <a:latin typeface="Arial" panose="020B0604020202020204" pitchFamily="34" charset="0"/>
                            <a:cs typeface="Arial" panose="020B0604020202020204" pitchFamily="34" charset="0"/>
                          </a:endParaRPr>
                        </a:p>
                      </a:txBody>
                      <a:useSpRect/>
                    </a:txSp>
                    <a:style>
                      <a:lnRef idx="2">
                        <a:schemeClr val="accent2"/>
                      </a:lnRef>
                      <a:fillRef idx="1">
                        <a:schemeClr val="lt1"/>
                      </a:fillRef>
                      <a:effectRef idx="0">
                        <a:schemeClr val="accent2"/>
                      </a:effectRef>
                      <a:fontRef idx="minor">
                        <a:schemeClr val="dk1"/>
                      </a:fontRef>
                    </a:style>
                  </a:sp>
                  <a:sp>
                    <a:nvSpPr>
                      <a:cNvPr id="4" name="Rectángulo 3"/>
                      <a:cNvSpPr/>
                    </a:nvSpPr>
                    <a:spPr>
                      <a:xfrm>
                        <a:off x="899592" y="3861048"/>
                        <a:ext cx="7341958" cy="941796"/>
                      </a:xfrm>
                      <a:prstGeom prst="rect">
                        <a:avLst/>
                      </a:prstGeom>
                    </a:spPr>
                    <a:txSp>
                      <a:txBody>
                        <a:bodyPr wrap="square">
                          <a:sp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lnSpc>
                              <a:spcPct val="115000"/>
                            </a:lnSpc>
                            <a:spcAft>
                              <a:spcPts val="0"/>
                            </a:spcAft>
                          </a:pPr>
                          <a:r>
                            <a:rPr lang="es-MX" sz="1600" dirty="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A nivel institucional, destaca el DIF–DF por implementar el mayor número de </a:t>
                          </a:r>
                          <a:r>
                            <a:rPr lang="es-MX" sz="1600" dirty="0" smtClean="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acciones </a:t>
                          </a:r>
                          <a:r>
                            <a:rPr lang="es-MX" sz="1600" dirty="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(22) </a:t>
                          </a:r>
                          <a:r>
                            <a:rPr lang="es-MX" sz="1600" dirty="0" smtClean="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dirigidas </a:t>
                          </a:r>
                          <a:r>
                            <a:rPr lang="es-MX" sz="1600" dirty="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a la atención de las NNA de la </a:t>
                          </a:r>
                          <a:r>
                            <a:rPr lang="es-MX" sz="1600" dirty="0" smtClean="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ciudad</a:t>
                          </a:r>
                          <a:r>
                            <a:rPr lang="es-MX" sz="1600" dirty="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a:t>
                          </a:r>
                          <a:r>
                            <a:rPr lang="es-MX" sz="1600" dirty="0" smtClean="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 le </a:t>
                          </a:r>
                          <a:r>
                            <a:rPr lang="es-MX" sz="1600" dirty="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siguen la SEDESA (13), la SEDU (4), el INJUVE (4</a:t>
                          </a:r>
                          <a:r>
                            <a:rPr lang="es-MX" sz="1600" dirty="0" smtClean="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 </a:t>
                          </a:r>
                          <a:r>
                            <a:rPr lang="es-MX" sz="1600" dirty="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el FIDEGAR (4</a:t>
                          </a:r>
                          <a:r>
                            <a:rPr lang="es-MX" sz="1600" dirty="0" smtClean="0">
                              <a:solidFill>
                                <a:schemeClr val="accent3">
                                  <a:lumMod val="50000"/>
                                </a:schemeClr>
                              </a:solidFill>
                              <a:latin typeface="Arial" panose="020B0604020202020204" pitchFamily="34" charset="0"/>
                              <a:ea typeface="Arial" panose="020B0604020202020204" pitchFamily="34" charset="0"/>
                              <a:cs typeface="Arial" panose="020B0604020202020204" pitchFamily="34" charset="0"/>
                            </a:rPr>
                            <a:t>) y la SEDESO (3). </a:t>
                          </a:r>
                          <a:endParaRPr lang="es-MX" sz="1200" dirty="0">
                            <a:solidFill>
                              <a:schemeClr val="accent3">
                                <a:lumMod val="50000"/>
                              </a:schemeClr>
                            </a:solidFill>
                            <a:effectLst/>
                            <a:latin typeface="Arial" panose="020B0604020202020204" pitchFamily="34" charset="0"/>
                            <a:ea typeface="Arial" panose="020B0604020202020204" pitchFamily="34" charset="0"/>
                            <a:cs typeface="Arial" panose="020B0604020202020204" pitchFamily="34" charset="0"/>
                          </a:endParaRPr>
                        </a:p>
                      </a:txBody>
                      <a:useSpRect/>
                    </a:txSp>
                    <a:style>
                      <a:lnRef idx="2">
                        <a:schemeClr val="accent1"/>
                      </a:lnRef>
                      <a:fillRef idx="1">
                        <a:schemeClr val="lt1"/>
                      </a:fillRef>
                      <a:effectRef idx="0">
                        <a:schemeClr val="accent1"/>
                      </a:effectRef>
                      <a:fontRef idx="minor">
                        <a:schemeClr val="dk1"/>
                      </a:fontRef>
                    </a:style>
                  </a:sp>
                  <a:sp>
                    <a:nvSpPr>
                      <a:cNvPr id="5" name="Flecha curvada hacia la derecha 4"/>
                      <a:cNvSpPr/>
                    </a:nvSpPr>
                    <a:spPr>
                      <a:xfrm>
                        <a:off x="107504" y="2636912"/>
                        <a:ext cx="792088" cy="2088232"/>
                      </a:xfrm>
                      <a:prstGeom prst="curvedRight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solidFill>
                              <a:schemeClr val="tx1"/>
                            </a:solidFill>
                          </a:endParaRPr>
                        </a:p>
                      </a:txBody>
                      <a:useSpRect/>
                    </a:txSp>
                    <a:style>
                      <a:lnRef idx="0">
                        <a:schemeClr val="accent3"/>
                      </a:lnRef>
                      <a:fillRef idx="3">
                        <a:schemeClr val="accent3"/>
                      </a:fillRef>
                      <a:effectRef idx="3">
                        <a:schemeClr val="accent3"/>
                      </a:effectRef>
                      <a:fontRef idx="minor">
                        <a:schemeClr val="lt1"/>
                      </a:fontRef>
                    </a:style>
                  </a:sp>
                </lc:lockedCanvas>
              </a:graphicData>
            </a:graphic>
          </wp:inline>
        </w:drawing>
      </w:r>
    </w:p>
    <w:p w:rsidR="00164109" w:rsidRDefault="00164109" w:rsidP="000B7209">
      <w:pPr>
        <w:jc w:val="both"/>
        <w:rPr>
          <w:rFonts w:ascii="Garamond" w:hAnsi="Garamond" w:cs="Arial"/>
          <w:sz w:val="24"/>
          <w:szCs w:val="24"/>
        </w:rPr>
      </w:pPr>
      <w:r w:rsidRPr="00164109">
        <w:rPr>
          <w:rFonts w:ascii="Garamond" w:hAnsi="Garamond" w:cs="Arial"/>
          <w:noProof/>
          <w:sz w:val="24"/>
          <w:szCs w:val="24"/>
          <w:lang w:eastAsia="es-MX"/>
        </w:rPr>
        <w:drawing>
          <wp:inline distT="0" distB="0" distL="0" distR="0">
            <wp:extent cx="5612130" cy="687705"/>
            <wp:effectExtent l="0" t="0" r="0" b="0"/>
            <wp:docPr id="18" name="Objet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76" cy="1077218"/>
                      <a:chOff x="107504" y="5373216"/>
                      <a:chExt cx="8784976" cy="1077218"/>
                    </a:xfrm>
                  </a:grpSpPr>
                  <a:sp>
                    <a:nvSpPr>
                      <a:cNvPr id="6" name="CuadroTexto 5"/>
                      <a:cNvSpPr txBox="1"/>
                    </a:nvSpPr>
                    <a:spPr>
                      <a:xfrm>
                        <a:off x="107504" y="5373216"/>
                        <a:ext cx="8784976" cy="1077218"/>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MX" sz="1600" dirty="0" smtClean="0"/>
                            <a:t>*Para la operación del Mecanismo de Seguimiento se optó por tener de </a:t>
                          </a:r>
                          <a:r>
                            <a:rPr lang="es-MX" sz="1600" dirty="0"/>
                            <a:t>Unidad de </a:t>
                          </a:r>
                          <a:r>
                            <a:rPr lang="es-MX" sz="1600" dirty="0" smtClean="0"/>
                            <a:t>Análisis a las “acciones”, ya sea que formen parte o no de un programa público. </a:t>
                          </a:r>
                          <a:r>
                            <a:rPr lang="es-MX" sz="1600" dirty="0"/>
                            <a:t>L</a:t>
                          </a:r>
                          <a:r>
                            <a:rPr lang="es-MX" sz="1600" dirty="0" smtClean="0"/>
                            <a:t>o anterior debido a que así se puede determinar de mejor forma como una parte o el total de la intervención pública se vincula con los compromisos de la iniciativa.</a:t>
                          </a:r>
                          <a:endParaRPr lang="es-MX" sz="1600" dirty="0"/>
                        </a:p>
                      </a:txBody>
                      <a:useSpRect/>
                    </a:txSp>
                  </a:sp>
                </lc:lockedCanvas>
              </a:graphicData>
            </a:graphic>
          </wp:inline>
        </w:drawing>
      </w:r>
    </w:p>
    <w:p w:rsidR="00164109" w:rsidRPr="0055142C" w:rsidRDefault="00164109" w:rsidP="00164109">
      <w:pPr>
        <w:spacing w:after="240"/>
        <w:rPr>
          <w:rFonts w:ascii="Garamond" w:hAnsi="Garamond"/>
        </w:rPr>
      </w:pPr>
      <w:r>
        <w:rPr>
          <w:rFonts w:ascii="Garamond" w:hAnsi="Garamond"/>
        </w:rPr>
        <w:t>En los siguientes gráficos se observa la distribución de programas acciones reportados por ente de gobierno.</w:t>
      </w:r>
    </w:p>
    <w:p w:rsidR="00164109" w:rsidRDefault="004750B6" w:rsidP="00164109">
      <w:pPr>
        <w:spacing w:after="240"/>
        <w:rPr>
          <w:rFonts w:ascii="Garamond" w:hAnsi="Garamond"/>
          <w:b/>
        </w:rPr>
      </w:pPr>
      <w:r>
        <w:rPr>
          <w:rFonts w:ascii="Garamond" w:hAnsi="Garamond"/>
          <w:b/>
          <w:noProof/>
          <w:lang w:eastAsia="es-MX"/>
        </w:rPr>
        <w:pict>
          <v:shapetype id="_x0000_t202" coordsize="21600,21600" o:spt="202" path="m,l,21600r21600,l21600,xe">
            <v:stroke joinstyle="miter"/>
            <v:path gradientshapeok="t" o:connecttype="rect"/>
          </v:shapetype>
          <v:shape id="_x0000_s1027" type="#_x0000_t202" style="position:absolute;margin-left:217.9pt;margin-top:7.2pt;width:217.6pt;height:44.9pt;z-index:251671040" stroked="f">
            <v:textbox style="mso-next-textbox:#_x0000_s1027">
              <w:txbxContent>
                <w:p w:rsidR="00164109" w:rsidRPr="00240B49" w:rsidRDefault="00164109" w:rsidP="00164109">
                  <w:pPr>
                    <w:keepNext/>
                    <w:jc w:val="center"/>
                    <w:rPr>
                      <w:rFonts w:ascii="Garamond" w:hAnsi="Garamond"/>
                      <w:b/>
                    </w:rPr>
                  </w:pPr>
                  <w:r w:rsidRPr="00240B49">
                    <w:rPr>
                      <w:rFonts w:ascii="Garamond" w:hAnsi="Garamond"/>
                      <w:b/>
                    </w:rPr>
                    <w:t xml:space="preserve">Gráfica </w:t>
                  </w:r>
                  <w:r>
                    <w:rPr>
                      <w:rFonts w:ascii="Garamond" w:hAnsi="Garamond"/>
                      <w:b/>
                    </w:rPr>
                    <w:t>2</w:t>
                  </w:r>
                  <w:r w:rsidRPr="00240B49">
                    <w:rPr>
                      <w:rFonts w:ascii="Garamond" w:hAnsi="Garamond"/>
                      <w:b/>
                    </w:rPr>
                    <w:t xml:space="preserve">. Distribución de </w:t>
                  </w:r>
                  <w:r>
                    <w:rPr>
                      <w:rFonts w:ascii="Garamond" w:hAnsi="Garamond"/>
                      <w:b/>
                    </w:rPr>
                    <w:t xml:space="preserve">las acciones </w:t>
                  </w:r>
                  <w:r w:rsidRPr="00240B49">
                    <w:rPr>
                      <w:rFonts w:ascii="Garamond" w:hAnsi="Garamond"/>
                      <w:b/>
                    </w:rPr>
                    <w:t>que atienden la Iniciativa según Ente administrativo, 2014</w:t>
                  </w:r>
                </w:p>
                <w:p w:rsidR="00164109" w:rsidRPr="00240B49" w:rsidRDefault="00164109" w:rsidP="00164109"/>
              </w:txbxContent>
            </v:textbox>
          </v:shape>
        </w:pict>
      </w:r>
      <w:r>
        <w:rPr>
          <w:rFonts w:ascii="Garamond" w:hAnsi="Garamond"/>
          <w:b/>
          <w:noProof/>
          <w:lang w:eastAsia="es-MX"/>
        </w:rPr>
        <w:pict>
          <v:shape id="_x0000_s1026" type="#_x0000_t202" style="position:absolute;margin-left:.3pt;margin-top:7.2pt;width:217.6pt;height:44.9pt;z-index:251670016" stroked="f">
            <v:textbox style="mso-next-textbox:#_x0000_s1026">
              <w:txbxContent>
                <w:p w:rsidR="00164109" w:rsidRPr="00240B49" w:rsidRDefault="00164109" w:rsidP="00164109">
                  <w:pPr>
                    <w:keepNext/>
                    <w:jc w:val="center"/>
                    <w:rPr>
                      <w:rFonts w:ascii="Garamond" w:hAnsi="Garamond"/>
                      <w:b/>
                    </w:rPr>
                  </w:pPr>
                  <w:r w:rsidRPr="00240B49">
                    <w:rPr>
                      <w:rFonts w:ascii="Garamond" w:hAnsi="Garamond"/>
                      <w:b/>
                    </w:rPr>
                    <w:t xml:space="preserve">Gráfica </w:t>
                  </w:r>
                  <w:r w:rsidR="004750B6" w:rsidRPr="00240B49">
                    <w:rPr>
                      <w:rFonts w:ascii="Garamond" w:hAnsi="Garamond"/>
                      <w:b/>
                    </w:rPr>
                    <w:fldChar w:fldCharType="begin"/>
                  </w:r>
                  <w:r w:rsidRPr="00240B49">
                    <w:rPr>
                      <w:rFonts w:ascii="Garamond" w:hAnsi="Garamond"/>
                      <w:b/>
                    </w:rPr>
                    <w:instrText xml:space="preserve"> SEQ Gráfica \* ARABIC </w:instrText>
                  </w:r>
                  <w:r w:rsidR="004750B6" w:rsidRPr="00240B49">
                    <w:rPr>
                      <w:rFonts w:ascii="Garamond" w:hAnsi="Garamond"/>
                      <w:b/>
                    </w:rPr>
                    <w:fldChar w:fldCharType="separate"/>
                  </w:r>
                  <w:r>
                    <w:rPr>
                      <w:rFonts w:ascii="Garamond" w:hAnsi="Garamond"/>
                      <w:b/>
                      <w:noProof/>
                    </w:rPr>
                    <w:t>1</w:t>
                  </w:r>
                  <w:r w:rsidR="004750B6" w:rsidRPr="00240B49">
                    <w:rPr>
                      <w:rFonts w:ascii="Garamond" w:hAnsi="Garamond"/>
                      <w:b/>
                    </w:rPr>
                    <w:fldChar w:fldCharType="end"/>
                  </w:r>
                  <w:r w:rsidRPr="00240B49">
                    <w:rPr>
                      <w:rFonts w:ascii="Garamond" w:hAnsi="Garamond"/>
                      <w:b/>
                    </w:rPr>
                    <w:t>. Distribución de los programas que atienden la Iniciativa según Ente administrativo, 2014</w:t>
                  </w:r>
                </w:p>
                <w:p w:rsidR="00164109" w:rsidRPr="00240B49" w:rsidRDefault="00164109" w:rsidP="00164109"/>
              </w:txbxContent>
            </v:textbox>
          </v:shape>
        </w:pict>
      </w:r>
    </w:p>
    <w:p w:rsidR="00164109" w:rsidRDefault="00164109" w:rsidP="00164109">
      <w:pPr>
        <w:spacing w:after="240"/>
        <w:rPr>
          <w:rFonts w:ascii="Garamond" w:hAnsi="Garamond"/>
          <w:b/>
        </w:rPr>
      </w:pPr>
    </w:p>
    <w:p w:rsidR="00164109" w:rsidRDefault="00164109" w:rsidP="00164109">
      <w:pPr>
        <w:spacing w:after="240"/>
        <w:rPr>
          <w:rFonts w:ascii="Garamond" w:hAnsi="Garamond"/>
          <w:b/>
        </w:rPr>
      </w:pPr>
      <w:r w:rsidRPr="0070423A">
        <w:rPr>
          <w:rFonts w:ascii="Garamond" w:hAnsi="Garamond"/>
          <w:b/>
          <w:noProof/>
          <w:lang w:eastAsia="es-MX"/>
        </w:rPr>
        <w:drawing>
          <wp:inline distT="0" distB="0" distL="0" distR="0">
            <wp:extent cx="2695956" cy="2816352"/>
            <wp:effectExtent l="57150" t="19050" r="28194" b="0"/>
            <wp:docPr id="1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5142C">
        <w:rPr>
          <w:rFonts w:ascii="Garamond" w:hAnsi="Garamond"/>
          <w:b/>
          <w:noProof/>
          <w:lang w:eastAsia="es-MX"/>
        </w:rPr>
        <w:drawing>
          <wp:inline distT="0" distB="0" distL="0" distR="0">
            <wp:extent cx="2700000" cy="2876550"/>
            <wp:effectExtent l="57150" t="19050" r="24150" b="0"/>
            <wp:docPr id="18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4109" w:rsidRDefault="00164109" w:rsidP="000B7209">
      <w:pPr>
        <w:jc w:val="both"/>
        <w:rPr>
          <w:rFonts w:ascii="Garamond" w:hAnsi="Garamond" w:cs="Arial"/>
          <w:sz w:val="24"/>
          <w:szCs w:val="24"/>
        </w:rPr>
      </w:pPr>
    </w:p>
    <w:p w:rsidR="00164109" w:rsidRDefault="00164109" w:rsidP="000B7209">
      <w:pPr>
        <w:jc w:val="both"/>
        <w:rPr>
          <w:rFonts w:ascii="Garamond" w:hAnsi="Garamond" w:cs="Arial"/>
          <w:sz w:val="24"/>
          <w:szCs w:val="24"/>
        </w:rPr>
      </w:pPr>
    </w:p>
    <w:p w:rsidR="00D375F0" w:rsidRDefault="00F2763A" w:rsidP="000B7209">
      <w:pPr>
        <w:jc w:val="both"/>
        <w:rPr>
          <w:rFonts w:ascii="Garamond" w:hAnsi="Garamond" w:cs="Arial"/>
          <w:b/>
          <w:sz w:val="24"/>
          <w:szCs w:val="24"/>
          <w:u w:val="single"/>
        </w:rPr>
      </w:pPr>
      <w:r>
        <w:rPr>
          <w:rFonts w:ascii="Garamond" w:hAnsi="Garamond" w:cs="Arial"/>
          <w:sz w:val="24"/>
          <w:szCs w:val="24"/>
        </w:rPr>
        <w:lastRenderedPageBreak/>
        <w:t xml:space="preserve">Para la operación de cada una de las etapas del </w:t>
      </w:r>
      <w:r w:rsidR="00017953">
        <w:rPr>
          <w:rFonts w:ascii="Garamond" w:hAnsi="Garamond" w:cs="Arial"/>
          <w:sz w:val="24"/>
          <w:szCs w:val="24"/>
        </w:rPr>
        <w:t>Mecanismo de Seguimiento se</w:t>
      </w:r>
      <w:r>
        <w:rPr>
          <w:rFonts w:ascii="Garamond" w:hAnsi="Garamond" w:cs="Arial"/>
          <w:sz w:val="24"/>
          <w:szCs w:val="24"/>
        </w:rPr>
        <w:t xml:space="preserve"> desarrolló una </w:t>
      </w:r>
      <w:r w:rsidRPr="00F2763A">
        <w:rPr>
          <w:rFonts w:ascii="Garamond" w:hAnsi="Garamond" w:cs="Arial"/>
          <w:sz w:val="24"/>
          <w:szCs w:val="24"/>
        </w:rPr>
        <w:t>plataforma tecnológica</w:t>
      </w:r>
      <w:r w:rsidR="000B7209">
        <w:rPr>
          <w:rFonts w:ascii="Garamond" w:hAnsi="Garamond" w:cs="Arial"/>
          <w:sz w:val="24"/>
          <w:szCs w:val="24"/>
        </w:rPr>
        <w:t xml:space="preserve"> situada en el </w:t>
      </w:r>
      <w:r w:rsidR="00050784" w:rsidRPr="00093E98">
        <w:rPr>
          <w:rFonts w:ascii="Garamond" w:hAnsi="Garamond" w:cs="Arial"/>
          <w:sz w:val="24"/>
          <w:szCs w:val="24"/>
        </w:rPr>
        <w:t>sitio</w:t>
      </w:r>
      <w:r w:rsidR="000B7209">
        <w:rPr>
          <w:rFonts w:ascii="Garamond" w:hAnsi="Garamond" w:cs="Arial"/>
          <w:sz w:val="24"/>
          <w:szCs w:val="24"/>
        </w:rPr>
        <w:t xml:space="preserve"> web</w:t>
      </w:r>
      <w:r w:rsidR="00050784" w:rsidRPr="00093E98">
        <w:rPr>
          <w:rFonts w:ascii="Garamond" w:hAnsi="Garamond" w:cs="Arial"/>
          <w:sz w:val="24"/>
          <w:szCs w:val="24"/>
        </w:rPr>
        <w:t xml:space="preserve">: </w:t>
      </w:r>
      <w:hyperlink r:id="rId17" w:history="1">
        <w:r w:rsidR="00CF0A77" w:rsidRPr="001339E0">
          <w:rPr>
            <w:rStyle w:val="Hipervnculo"/>
            <w:rFonts w:ascii="Garamond" w:hAnsi="Garamond" w:cs="Arial"/>
            <w:b/>
            <w:sz w:val="24"/>
            <w:szCs w:val="24"/>
          </w:rPr>
          <w:t>http://www.eap.df.gob.mx/mecanismo/</w:t>
        </w:r>
      </w:hyperlink>
    </w:p>
    <w:p w:rsidR="00CF0A77" w:rsidRPr="00CF0A77" w:rsidRDefault="00CF0A77" w:rsidP="000B7209">
      <w:pPr>
        <w:jc w:val="both"/>
        <w:rPr>
          <w:rFonts w:ascii="Garamond" w:hAnsi="Garamond" w:cs="Arial"/>
          <w:sz w:val="24"/>
          <w:szCs w:val="24"/>
        </w:rPr>
      </w:pPr>
      <w:r>
        <w:rPr>
          <w:rFonts w:ascii="Garamond" w:hAnsi="Garamond" w:cs="Arial"/>
          <w:sz w:val="24"/>
          <w:szCs w:val="24"/>
        </w:rPr>
        <w:t>Acceso</w:t>
      </w:r>
    </w:p>
    <w:p w:rsidR="00D375F0" w:rsidRDefault="000B7209" w:rsidP="00093E98">
      <w:pPr>
        <w:jc w:val="both"/>
        <w:rPr>
          <w:rFonts w:ascii="Garamond" w:hAnsi="Garamond" w:cs="Arial"/>
          <w:sz w:val="24"/>
          <w:szCs w:val="24"/>
        </w:rPr>
      </w:pPr>
      <w:r>
        <w:rPr>
          <w:rFonts w:ascii="Garamond" w:hAnsi="Garamond" w:cs="Arial"/>
          <w:noProof/>
          <w:sz w:val="24"/>
          <w:szCs w:val="24"/>
          <w:lang w:eastAsia="es-MX"/>
        </w:rPr>
        <w:drawing>
          <wp:inline distT="0" distB="0" distL="0" distR="0">
            <wp:extent cx="5357622" cy="2749630"/>
            <wp:effectExtent l="1905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2566" t="12292" r="13287" b="9347"/>
                    <a:stretch>
                      <a:fillRect/>
                    </a:stretch>
                  </pic:blipFill>
                  <pic:spPr bwMode="auto">
                    <a:xfrm>
                      <a:off x="0" y="0"/>
                      <a:ext cx="5361288" cy="2751511"/>
                    </a:xfrm>
                    <a:prstGeom prst="rect">
                      <a:avLst/>
                    </a:prstGeom>
                    <a:noFill/>
                    <a:ln w="9525">
                      <a:noFill/>
                      <a:miter lim="800000"/>
                      <a:headEnd/>
                      <a:tailEnd/>
                    </a:ln>
                  </pic:spPr>
                </pic:pic>
              </a:graphicData>
            </a:graphic>
          </wp:inline>
        </w:drawing>
      </w:r>
    </w:p>
    <w:p w:rsidR="00CF0A77" w:rsidRDefault="00CF0A77" w:rsidP="00093E98">
      <w:pPr>
        <w:jc w:val="both"/>
        <w:rPr>
          <w:rFonts w:ascii="Garamond" w:hAnsi="Garamond" w:cs="Arial"/>
          <w:sz w:val="24"/>
          <w:szCs w:val="24"/>
        </w:rPr>
      </w:pPr>
      <w:r>
        <w:rPr>
          <w:rFonts w:ascii="Garamond" w:hAnsi="Garamond" w:cs="Arial"/>
          <w:sz w:val="24"/>
          <w:szCs w:val="24"/>
        </w:rPr>
        <w:t>Menú principal</w:t>
      </w:r>
    </w:p>
    <w:p w:rsidR="000B7209" w:rsidRDefault="000B7209" w:rsidP="00093E98">
      <w:pPr>
        <w:jc w:val="both"/>
        <w:rPr>
          <w:rFonts w:ascii="Garamond" w:hAnsi="Garamond" w:cs="Arial"/>
          <w:sz w:val="24"/>
          <w:szCs w:val="24"/>
        </w:rPr>
      </w:pPr>
      <w:r>
        <w:rPr>
          <w:rFonts w:ascii="Garamond" w:hAnsi="Garamond" w:cs="Arial"/>
          <w:noProof/>
          <w:sz w:val="24"/>
          <w:szCs w:val="24"/>
          <w:lang w:eastAsia="es-MX"/>
        </w:rPr>
        <w:drawing>
          <wp:inline distT="0" distB="0" distL="0" distR="0">
            <wp:extent cx="5460034" cy="2866594"/>
            <wp:effectExtent l="19050" t="0" r="7316"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12697" t="11875" r="13287" b="6430"/>
                    <a:stretch>
                      <a:fillRect/>
                    </a:stretch>
                  </pic:blipFill>
                  <pic:spPr bwMode="auto">
                    <a:xfrm>
                      <a:off x="0" y="0"/>
                      <a:ext cx="5463775" cy="2868558"/>
                    </a:xfrm>
                    <a:prstGeom prst="rect">
                      <a:avLst/>
                    </a:prstGeom>
                    <a:noFill/>
                    <a:ln w="9525">
                      <a:noFill/>
                      <a:miter lim="800000"/>
                      <a:headEnd/>
                      <a:tailEnd/>
                    </a:ln>
                  </pic:spPr>
                </pic:pic>
              </a:graphicData>
            </a:graphic>
          </wp:inline>
        </w:drawing>
      </w:r>
    </w:p>
    <w:p w:rsidR="000B7209" w:rsidRDefault="000B7209" w:rsidP="00093E98">
      <w:pPr>
        <w:jc w:val="both"/>
        <w:rPr>
          <w:rFonts w:ascii="Garamond" w:hAnsi="Garamond" w:cs="Arial"/>
          <w:sz w:val="24"/>
          <w:szCs w:val="24"/>
        </w:rPr>
      </w:pPr>
    </w:p>
    <w:p w:rsidR="00CF0A77" w:rsidRDefault="00CF0A77" w:rsidP="00093E98">
      <w:pPr>
        <w:jc w:val="both"/>
        <w:rPr>
          <w:rFonts w:ascii="Garamond" w:hAnsi="Garamond" w:cs="Arial"/>
          <w:sz w:val="24"/>
          <w:szCs w:val="24"/>
        </w:rPr>
      </w:pPr>
    </w:p>
    <w:p w:rsidR="00CF0A77" w:rsidRDefault="00CF0A77" w:rsidP="00093E98">
      <w:pPr>
        <w:jc w:val="both"/>
        <w:rPr>
          <w:rFonts w:ascii="Garamond" w:hAnsi="Garamond" w:cs="Arial"/>
          <w:sz w:val="24"/>
          <w:szCs w:val="24"/>
        </w:rPr>
      </w:pPr>
    </w:p>
    <w:p w:rsidR="00CF0A77" w:rsidRDefault="00CF0A77" w:rsidP="00093E98">
      <w:pPr>
        <w:jc w:val="both"/>
        <w:rPr>
          <w:rFonts w:ascii="Garamond" w:hAnsi="Garamond" w:cs="Arial"/>
          <w:sz w:val="24"/>
          <w:szCs w:val="24"/>
        </w:rPr>
      </w:pPr>
      <w:r>
        <w:rPr>
          <w:rFonts w:ascii="Garamond" w:hAnsi="Garamond" w:cs="Arial"/>
          <w:sz w:val="24"/>
          <w:szCs w:val="24"/>
        </w:rPr>
        <w:lastRenderedPageBreak/>
        <w:t>Integración de la información</w:t>
      </w:r>
    </w:p>
    <w:p w:rsidR="000B7209" w:rsidRDefault="000B7209" w:rsidP="00093E98">
      <w:pPr>
        <w:jc w:val="both"/>
        <w:rPr>
          <w:rFonts w:ascii="Garamond" w:hAnsi="Garamond" w:cs="Arial"/>
          <w:sz w:val="24"/>
          <w:szCs w:val="24"/>
        </w:rPr>
      </w:pPr>
      <w:r>
        <w:rPr>
          <w:rFonts w:ascii="Garamond" w:hAnsi="Garamond" w:cs="Arial"/>
          <w:noProof/>
          <w:sz w:val="24"/>
          <w:szCs w:val="24"/>
          <w:lang w:eastAsia="es-MX"/>
        </w:rPr>
        <w:drawing>
          <wp:inline distT="0" distB="0" distL="0" distR="0">
            <wp:extent cx="5357622" cy="3247949"/>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l="18958" t="9792" r="19282" b="3074"/>
                    <a:stretch>
                      <a:fillRect/>
                    </a:stretch>
                  </pic:blipFill>
                  <pic:spPr bwMode="auto">
                    <a:xfrm>
                      <a:off x="0" y="0"/>
                      <a:ext cx="5360734" cy="3249836"/>
                    </a:xfrm>
                    <a:prstGeom prst="rect">
                      <a:avLst/>
                    </a:prstGeom>
                    <a:noFill/>
                    <a:ln w="9525">
                      <a:noFill/>
                      <a:miter lim="800000"/>
                      <a:headEnd/>
                      <a:tailEnd/>
                    </a:ln>
                  </pic:spPr>
                </pic:pic>
              </a:graphicData>
            </a:graphic>
          </wp:inline>
        </w:drawing>
      </w:r>
    </w:p>
    <w:p w:rsidR="00CF0A77" w:rsidRPr="00093E98" w:rsidRDefault="00CF0A77" w:rsidP="00093E98">
      <w:pPr>
        <w:jc w:val="both"/>
        <w:rPr>
          <w:rFonts w:ascii="Garamond" w:hAnsi="Garamond" w:cs="Arial"/>
          <w:sz w:val="24"/>
          <w:szCs w:val="24"/>
        </w:rPr>
      </w:pPr>
      <w:r>
        <w:rPr>
          <w:rFonts w:ascii="Garamond" w:hAnsi="Garamond" w:cs="Arial"/>
          <w:noProof/>
          <w:sz w:val="24"/>
          <w:szCs w:val="24"/>
          <w:lang w:eastAsia="es-MX"/>
        </w:rPr>
        <w:drawing>
          <wp:inline distT="0" distB="0" distL="0" distR="0">
            <wp:extent cx="5357622" cy="419161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8562" t="11875" r="19933" b="6850"/>
                    <a:stretch>
                      <a:fillRect/>
                    </a:stretch>
                  </pic:blipFill>
                  <pic:spPr bwMode="auto">
                    <a:xfrm>
                      <a:off x="0" y="0"/>
                      <a:ext cx="5362516" cy="4195439"/>
                    </a:xfrm>
                    <a:prstGeom prst="rect">
                      <a:avLst/>
                    </a:prstGeom>
                    <a:noFill/>
                    <a:ln w="9525">
                      <a:noFill/>
                      <a:miter lim="800000"/>
                      <a:headEnd/>
                      <a:tailEnd/>
                    </a:ln>
                  </pic:spPr>
                </pic:pic>
              </a:graphicData>
            </a:graphic>
          </wp:inline>
        </w:drawing>
      </w:r>
    </w:p>
    <w:sectPr w:rsidR="00CF0A77" w:rsidRPr="00093E98" w:rsidSect="00093E98">
      <w:headerReference w:type="default" r:id="rId22"/>
      <w:footerReference w:type="default" r:id="rId23"/>
      <w:pgSz w:w="12240" w:h="15840"/>
      <w:pgMar w:top="1702"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456" w:rsidRDefault="00442456" w:rsidP="004A7880">
      <w:pPr>
        <w:spacing w:after="0" w:line="240" w:lineRule="auto"/>
      </w:pPr>
      <w:r>
        <w:separator/>
      </w:r>
    </w:p>
  </w:endnote>
  <w:endnote w:type="continuationSeparator" w:id="0">
    <w:p w:rsidR="00442456" w:rsidRDefault="00442456" w:rsidP="004A7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6463"/>
      <w:docPartObj>
        <w:docPartGallery w:val="Page Numbers (Bottom of Page)"/>
        <w:docPartUnique/>
      </w:docPartObj>
    </w:sdtPr>
    <w:sdtContent>
      <w:p w:rsidR="003234EF" w:rsidRDefault="004750B6">
        <w:pPr>
          <w:pStyle w:val="Piedepgina"/>
          <w:jc w:val="right"/>
        </w:pPr>
        <w:fldSimple w:instr=" PAGE   \* MERGEFORMAT ">
          <w:r w:rsidR="001D3CF9">
            <w:rPr>
              <w:noProof/>
            </w:rPr>
            <w:t>1</w:t>
          </w:r>
        </w:fldSimple>
      </w:p>
    </w:sdtContent>
  </w:sdt>
  <w:p w:rsidR="003234EF" w:rsidRDefault="003234E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456" w:rsidRDefault="00442456" w:rsidP="004A7880">
      <w:pPr>
        <w:spacing w:after="0" w:line="240" w:lineRule="auto"/>
      </w:pPr>
      <w:r>
        <w:separator/>
      </w:r>
    </w:p>
  </w:footnote>
  <w:footnote w:type="continuationSeparator" w:id="0">
    <w:p w:rsidR="00442456" w:rsidRDefault="00442456" w:rsidP="004A7880">
      <w:pPr>
        <w:spacing w:after="0" w:line="240" w:lineRule="auto"/>
      </w:pPr>
      <w:r>
        <w:continuationSeparator/>
      </w:r>
    </w:p>
  </w:footnote>
  <w:footnote w:id="1">
    <w:p w:rsidR="00A37FD5" w:rsidRDefault="00A37FD5" w:rsidP="00A37FD5">
      <w:pPr>
        <w:pStyle w:val="Textonotapie"/>
        <w:jc w:val="both"/>
      </w:pPr>
      <w:r>
        <w:rPr>
          <w:rStyle w:val="Refdenotaalpie"/>
        </w:rPr>
        <w:footnoteRef/>
      </w:r>
      <w:r>
        <w:t xml:space="preserve"> El ciclo de la gestión en el ámbito público contiene una serie de componentes, interacciones y herramientas que se articulan en torno a un sistema complejo que, organizado y dirigido, transforma recursos en cambios sociales finales (Serra en Longo y </w:t>
      </w:r>
      <w:proofErr w:type="spellStart"/>
      <w:r>
        <w:t>Tamyko</w:t>
      </w:r>
      <w:proofErr w:type="spellEnd"/>
      <w:r>
        <w:t xml:space="preserve">, 2008).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880" w:rsidRDefault="004750B6">
    <w:pPr>
      <w:pStyle w:val="Encabezado"/>
    </w:pPr>
    <w:r>
      <w:rPr>
        <w:noProof/>
        <w:lang w:eastAsia="es-MX"/>
      </w:rPr>
      <w:pict>
        <v:group id="_x0000_s4097" style="position:absolute;margin-left:-43.45pt;margin-top:-17.7pt;width:159pt;height:52.65pt;z-index:-251658240" coordsize="17392,57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4098" type="#_x0000_t75" style="position:absolute;width:7499;height:5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08dLAAAAA2wAAAA8AAABkcnMvZG93bnJldi54bWxEj0GLwjAUhO/C/ofwFrzZVA8i1SiuIG6P&#10;W/0Bj+bZFpuXbhLbur/eLAgeh5n5htnsRtOKnpxvLCuYJykI4tLqhisFl/NxtgLhA7LG1jIpeJCH&#10;3fZjssFM24F/qC9CJSKEfYYK6hC6TEpf1mTQJ7Yjjt7VOoMhSldJ7XCIcNPKRZoupcGG40KNHR1q&#10;Km/F3SjA82mo+j/C/Ii/J/vl8kdxz5Wafo77NYhAY3iHX+1vrWCxhP8v8QfI7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Tx0sAAAADbAAAADwAAAAAAAAAAAAAAAACfAgAA&#10;ZHJzL2Rvd25yZXYueG1sUEsFBgAAAAAEAAQA9wAAAIwDAAAAAA==&#10;">
            <v:imagedata r:id="rId1" o:title="" cropright="45964f"/>
            <v:path arrowok="t"/>
          </v:shape>
          <v:shape id="Imagen 1" o:spid="_x0000_s4099" type="#_x0000_t75" style="position:absolute;left:7905;width:9487;height:5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JqfCAAAA2gAAAA8AAABkcnMvZG93bnJldi54bWxET01rwkAQvQv+h2WE3nSjFJHoKrVYKb1o&#10;E+15mp0m0exsml017a/vBgqehsf7nMWqNZW4UuNKywrGowgEcWZ1ybmCQ/oynIFwHlljZZkU/JCD&#10;1bLfW2Cs7Y3f6Zr4XIQQdjEqKLyvYyldVpBBN7I1ceC+bGPQB9jkUjd4C+GmkpMomkqDJYeGAmt6&#10;Lig7Jxej4PT5Xfrtev+7TTa7Tfr49pEeLxOlHgbt0xyEp9bfxf/uVx3mQ/dKd+X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CanwgAAANoAAAAPAAAAAAAAAAAAAAAAAJ8C&#10;AABkcnMvZG93bnJldi54bWxQSwUGAAAAAAQABAD3AAAAjgMAAAAA&#10;">
            <v:imagedata r:id="rId2" o:title=""/>
            <v:path arrowok="t"/>
          </v:shape>
        </v:group>
      </w:pict>
    </w:r>
    <w:r w:rsidR="004A7880" w:rsidRPr="007E220D">
      <w:rPr>
        <w:noProof/>
        <w:lang w:eastAsia="es-MX"/>
      </w:rPr>
      <w:drawing>
        <wp:anchor distT="0" distB="0" distL="114300" distR="114300" simplePos="0" relativeHeight="251659264" behindDoc="1" locked="0" layoutInCell="1" allowOverlap="1">
          <wp:simplePos x="0" y="0"/>
          <wp:positionH relativeFrom="column">
            <wp:posOffset>5381625</wp:posOffset>
          </wp:positionH>
          <wp:positionV relativeFrom="paragraph">
            <wp:posOffset>-153035</wp:posOffset>
          </wp:positionV>
          <wp:extent cx="974863" cy="583096"/>
          <wp:effectExtent l="0" t="0" r="0" b="0"/>
          <wp:wrapNone/>
          <wp:docPr id="3" name="19 Imagen" descr="Log_eapdf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Log_eapdfVert.jpg"/>
                  <pic:cNvPicPr>
                    <a:picLocks noChangeAspect="1" noChangeArrowheads="1"/>
                  </pic:cNvPicPr>
                </pic:nvPicPr>
                <pic:blipFill>
                  <a:blip r:embed="rId3"/>
                  <a:srcRect/>
                  <a:stretch>
                    <a:fillRect/>
                  </a:stretch>
                </pic:blipFill>
                <pic:spPr bwMode="auto">
                  <a:xfrm>
                    <a:off x="0" y="0"/>
                    <a:ext cx="974863" cy="583096"/>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8661A"/>
    <w:multiLevelType w:val="hybridMultilevel"/>
    <w:tmpl w:val="74BA5F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0A0EFC"/>
    <w:multiLevelType w:val="hybridMultilevel"/>
    <w:tmpl w:val="0E681224"/>
    <w:lvl w:ilvl="0" w:tplc="67464708">
      <w:start w:val="1"/>
      <w:numFmt w:val="bullet"/>
      <w:lvlText w:val="•"/>
      <w:lvlJc w:val="left"/>
      <w:pPr>
        <w:tabs>
          <w:tab w:val="num" w:pos="720"/>
        </w:tabs>
        <w:ind w:left="720" w:hanging="360"/>
      </w:pPr>
      <w:rPr>
        <w:rFonts w:ascii="Times New Roman" w:hAnsi="Times New Roman" w:hint="default"/>
      </w:rPr>
    </w:lvl>
    <w:lvl w:ilvl="1" w:tplc="6FF23308" w:tentative="1">
      <w:start w:val="1"/>
      <w:numFmt w:val="bullet"/>
      <w:lvlText w:val="•"/>
      <w:lvlJc w:val="left"/>
      <w:pPr>
        <w:tabs>
          <w:tab w:val="num" w:pos="1440"/>
        </w:tabs>
        <w:ind w:left="1440" w:hanging="360"/>
      </w:pPr>
      <w:rPr>
        <w:rFonts w:ascii="Times New Roman" w:hAnsi="Times New Roman" w:hint="default"/>
      </w:rPr>
    </w:lvl>
    <w:lvl w:ilvl="2" w:tplc="01CC4EB2" w:tentative="1">
      <w:start w:val="1"/>
      <w:numFmt w:val="bullet"/>
      <w:lvlText w:val="•"/>
      <w:lvlJc w:val="left"/>
      <w:pPr>
        <w:tabs>
          <w:tab w:val="num" w:pos="2160"/>
        </w:tabs>
        <w:ind w:left="2160" w:hanging="360"/>
      </w:pPr>
      <w:rPr>
        <w:rFonts w:ascii="Times New Roman" w:hAnsi="Times New Roman" w:hint="default"/>
      </w:rPr>
    </w:lvl>
    <w:lvl w:ilvl="3" w:tplc="8C40E89C" w:tentative="1">
      <w:start w:val="1"/>
      <w:numFmt w:val="bullet"/>
      <w:lvlText w:val="•"/>
      <w:lvlJc w:val="left"/>
      <w:pPr>
        <w:tabs>
          <w:tab w:val="num" w:pos="2880"/>
        </w:tabs>
        <w:ind w:left="2880" w:hanging="360"/>
      </w:pPr>
      <w:rPr>
        <w:rFonts w:ascii="Times New Roman" w:hAnsi="Times New Roman" w:hint="default"/>
      </w:rPr>
    </w:lvl>
    <w:lvl w:ilvl="4" w:tplc="51C0A87E" w:tentative="1">
      <w:start w:val="1"/>
      <w:numFmt w:val="bullet"/>
      <w:lvlText w:val="•"/>
      <w:lvlJc w:val="left"/>
      <w:pPr>
        <w:tabs>
          <w:tab w:val="num" w:pos="3600"/>
        </w:tabs>
        <w:ind w:left="3600" w:hanging="360"/>
      </w:pPr>
      <w:rPr>
        <w:rFonts w:ascii="Times New Roman" w:hAnsi="Times New Roman" w:hint="default"/>
      </w:rPr>
    </w:lvl>
    <w:lvl w:ilvl="5" w:tplc="86305702" w:tentative="1">
      <w:start w:val="1"/>
      <w:numFmt w:val="bullet"/>
      <w:lvlText w:val="•"/>
      <w:lvlJc w:val="left"/>
      <w:pPr>
        <w:tabs>
          <w:tab w:val="num" w:pos="4320"/>
        </w:tabs>
        <w:ind w:left="4320" w:hanging="360"/>
      </w:pPr>
      <w:rPr>
        <w:rFonts w:ascii="Times New Roman" w:hAnsi="Times New Roman" w:hint="default"/>
      </w:rPr>
    </w:lvl>
    <w:lvl w:ilvl="6" w:tplc="4E300534" w:tentative="1">
      <w:start w:val="1"/>
      <w:numFmt w:val="bullet"/>
      <w:lvlText w:val="•"/>
      <w:lvlJc w:val="left"/>
      <w:pPr>
        <w:tabs>
          <w:tab w:val="num" w:pos="5040"/>
        </w:tabs>
        <w:ind w:left="5040" w:hanging="360"/>
      </w:pPr>
      <w:rPr>
        <w:rFonts w:ascii="Times New Roman" w:hAnsi="Times New Roman" w:hint="default"/>
      </w:rPr>
    </w:lvl>
    <w:lvl w:ilvl="7" w:tplc="1C00803E" w:tentative="1">
      <w:start w:val="1"/>
      <w:numFmt w:val="bullet"/>
      <w:lvlText w:val="•"/>
      <w:lvlJc w:val="left"/>
      <w:pPr>
        <w:tabs>
          <w:tab w:val="num" w:pos="5760"/>
        </w:tabs>
        <w:ind w:left="5760" w:hanging="360"/>
      </w:pPr>
      <w:rPr>
        <w:rFonts w:ascii="Times New Roman" w:hAnsi="Times New Roman" w:hint="default"/>
      </w:rPr>
    </w:lvl>
    <w:lvl w:ilvl="8" w:tplc="5D2822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F6866BF"/>
    <w:multiLevelType w:val="hybridMultilevel"/>
    <w:tmpl w:val="3EA827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0113F04"/>
    <w:multiLevelType w:val="hybridMultilevel"/>
    <w:tmpl w:val="7924EC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CD29D0"/>
    <w:multiLevelType w:val="hybridMultilevel"/>
    <w:tmpl w:val="AD621BE6"/>
    <w:lvl w:ilvl="0" w:tplc="8F10FC46">
      <w:start w:val="1"/>
      <w:numFmt w:val="bullet"/>
      <w:lvlText w:val="•"/>
      <w:lvlJc w:val="left"/>
      <w:pPr>
        <w:tabs>
          <w:tab w:val="num" w:pos="720"/>
        </w:tabs>
        <w:ind w:left="720" w:hanging="360"/>
      </w:pPr>
      <w:rPr>
        <w:rFonts w:ascii="Arial" w:hAnsi="Arial" w:hint="default"/>
      </w:rPr>
    </w:lvl>
    <w:lvl w:ilvl="1" w:tplc="AF5CDE72" w:tentative="1">
      <w:start w:val="1"/>
      <w:numFmt w:val="bullet"/>
      <w:lvlText w:val="•"/>
      <w:lvlJc w:val="left"/>
      <w:pPr>
        <w:tabs>
          <w:tab w:val="num" w:pos="1440"/>
        </w:tabs>
        <w:ind w:left="1440" w:hanging="360"/>
      </w:pPr>
      <w:rPr>
        <w:rFonts w:ascii="Arial" w:hAnsi="Arial" w:hint="default"/>
      </w:rPr>
    </w:lvl>
    <w:lvl w:ilvl="2" w:tplc="653887DC" w:tentative="1">
      <w:start w:val="1"/>
      <w:numFmt w:val="bullet"/>
      <w:lvlText w:val="•"/>
      <w:lvlJc w:val="left"/>
      <w:pPr>
        <w:tabs>
          <w:tab w:val="num" w:pos="2160"/>
        </w:tabs>
        <w:ind w:left="2160" w:hanging="360"/>
      </w:pPr>
      <w:rPr>
        <w:rFonts w:ascii="Arial" w:hAnsi="Arial" w:hint="default"/>
      </w:rPr>
    </w:lvl>
    <w:lvl w:ilvl="3" w:tplc="7D328D12" w:tentative="1">
      <w:start w:val="1"/>
      <w:numFmt w:val="bullet"/>
      <w:lvlText w:val="•"/>
      <w:lvlJc w:val="left"/>
      <w:pPr>
        <w:tabs>
          <w:tab w:val="num" w:pos="2880"/>
        </w:tabs>
        <w:ind w:left="2880" w:hanging="360"/>
      </w:pPr>
      <w:rPr>
        <w:rFonts w:ascii="Arial" w:hAnsi="Arial" w:hint="default"/>
      </w:rPr>
    </w:lvl>
    <w:lvl w:ilvl="4" w:tplc="7CBE0F16" w:tentative="1">
      <w:start w:val="1"/>
      <w:numFmt w:val="bullet"/>
      <w:lvlText w:val="•"/>
      <w:lvlJc w:val="left"/>
      <w:pPr>
        <w:tabs>
          <w:tab w:val="num" w:pos="3600"/>
        </w:tabs>
        <w:ind w:left="3600" w:hanging="360"/>
      </w:pPr>
      <w:rPr>
        <w:rFonts w:ascii="Arial" w:hAnsi="Arial" w:hint="default"/>
      </w:rPr>
    </w:lvl>
    <w:lvl w:ilvl="5" w:tplc="2FFC5A9E" w:tentative="1">
      <w:start w:val="1"/>
      <w:numFmt w:val="bullet"/>
      <w:lvlText w:val="•"/>
      <w:lvlJc w:val="left"/>
      <w:pPr>
        <w:tabs>
          <w:tab w:val="num" w:pos="4320"/>
        </w:tabs>
        <w:ind w:left="4320" w:hanging="360"/>
      </w:pPr>
      <w:rPr>
        <w:rFonts w:ascii="Arial" w:hAnsi="Arial" w:hint="default"/>
      </w:rPr>
    </w:lvl>
    <w:lvl w:ilvl="6" w:tplc="DCEE3208" w:tentative="1">
      <w:start w:val="1"/>
      <w:numFmt w:val="bullet"/>
      <w:lvlText w:val="•"/>
      <w:lvlJc w:val="left"/>
      <w:pPr>
        <w:tabs>
          <w:tab w:val="num" w:pos="5040"/>
        </w:tabs>
        <w:ind w:left="5040" w:hanging="360"/>
      </w:pPr>
      <w:rPr>
        <w:rFonts w:ascii="Arial" w:hAnsi="Arial" w:hint="default"/>
      </w:rPr>
    </w:lvl>
    <w:lvl w:ilvl="7" w:tplc="DA5A4712" w:tentative="1">
      <w:start w:val="1"/>
      <w:numFmt w:val="bullet"/>
      <w:lvlText w:val="•"/>
      <w:lvlJc w:val="left"/>
      <w:pPr>
        <w:tabs>
          <w:tab w:val="num" w:pos="5760"/>
        </w:tabs>
        <w:ind w:left="5760" w:hanging="360"/>
      </w:pPr>
      <w:rPr>
        <w:rFonts w:ascii="Arial" w:hAnsi="Arial" w:hint="default"/>
      </w:rPr>
    </w:lvl>
    <w:lvl w:ilvl="8" w:tplc="E2A8C112" w:tentative="1">
      <w:start w:val="1"/>
      <w:numFmt w:val="bullet"/>
      <w:lvlText w:val="•"/>
      <w:lvlJc w:val="left"/>
      <w:pPr>
        <w:tabs>
          <w:tab w:val="num" w:pos="6480"/>
        </w:tabs>
        <w:ind w:left="6480" w:hanging="360"/>
      </w:pPr>
      <w:rPr>
        <w:rFonts w:ascii="Arial" w:hAnsi="Arial" w:hint="default"/>
      </w:rPr>
    </w:lvl>
  </w:abstractNum>
  <w:abstractNum w:abstractNumId="5">
    <w:nsid w:val="35E3715A"/>
    <w:multiLevelType w:val="hybridMultilevel"/>
    <w:tmpl w:val="ADD8E5AA"/>
    <w:lvl w:ilvl="0" w:tplc="4A728C74">
      <w:start w:val="1"/>
      <w:numFmt w:val="bullet"/>
      <w:lvlText w:val="•"/>
      <w:lvlJc w:val="left"/>
      <w:pPr>
        <w:tabs>
          <w:tab w:val="num" w:pos="720"/>
        </w:tabs>
        <w:ind w:left="720" w:hanging="360"/>
      </w:pPr>
      <w:rPr>
        <w:rFonts w:ascii="Arial" w:hAnsi="Arial" w:hint="default"/>
      </w:rPr>
    </w:lvl>
    <w:lvl w:ilvl="1" w:tplc="D6203BAE" w:tentative="1">
      <w:start w:val="1"/>
      <w:numFmt w:val="bullet"/>
      <w:lvlText w:val="•"/>
      <w:lvlJc w:val="left"/>
      <w:pPr>
        <w:tabs>
          <w:tab w:val="num" w:pos="1440"/>
        </w:tabs>
        <w:ind w:left="1440" w:hanging="360"/>
      </w:pPr>
      <w:rPr>
        <w:rFonts w:ascii="Arial" w:hAnsi="Arial" w:hint="default"/>
      </w:rPr>
    </w:lvl>
    <w:lvl w:ilvl="2" w:tplc="01823A6E" w:tentative="1">
      <w:start w:val="1"/>
      <w:numFmt w:val="bullet"/>
      <w:lvlText w:val="•"/>
      <w:lvlJc w:val="left"/>
      <w:pPr>
        <w:tabs>
          <w:tab w:val="num" w:pos="2160"/>
        </w:tabs>
        <w:ind w:left="2160" w:hanging="360"/>
      </w:pPr>
      <w:rPr>
        <w:rFonts w:ascii="Arial" w:hAnsi="Arial" w:hint="default"/>
      </w:rPr>
    </w:lvl>
    <w:lvl w:ilvl="3" w:tplc="EBFE32FE" w:tentative="1">
      <w:start w:val="1"/>
      <w:numFmt w:val="bullet"/>
      <w:lvlText w:val="•"/>
      <w:lvlJc w:val="left"/>
      <w:pPr>
        <w:tabs>
          <w:tab w:val="num" w:pos="2880"/>
        </w:tabs>
        <w:ind w:left="2880" w:hanging="360"/>
      </w:pPr>
      <w:rPr>
        <w:rFonts w:ascii="Arial" w:hAnsi="Arial" w:hint="default"/>
      </w:rPr>
    </w:lvl>
    <w:lvl w:ilvl="4" w:tplc="8FD2FF70" w:tentative="1">
      <w:start w:val="1"/>
      <w:numFmt w:val="bullet"/>
      <w:lvlText w:val="•"/>
      <w:lvlJc w:val="left"/>
      <w:pPr>
        <w:tabs>
          <w:tab w:val="num" w:pos="3600"/>
        </w:tabs>
        <w:ind w:left="3600" w:hanging="360"/>
      </w:pPr>
      <w:rPr>
        <w:rFonts w:ascii="Arial" w:hAnsi="Arial" w:hint="default"/>
      </w:rPr>
    </w:lvl>
    <w:lvl w:ilvl="5" w:tplc="F766AF8E" w:tentative="1">
      <w:start w:val="1"/>
      <w:numFmt w:val="bullet"/>
      <w:lvlText w:val="•"/>
      <w:lvlJc w:val="left"/>
      <w:pPr>
        <w:tabs>
          <w:tab w:val="num" w:pos="4320"/>
        </w:tabs>
        <w:ind w:left="4320" w:hanging="360"/>
      </w:pPr>
      <w:rPr>
        <w:rFonts w:ascii="Arial" w:hAnsi="Arial" w:hint="default"/>
      </w:rPr>
    </w:lvl>
    <w:lvl w:ilvl="6" w:tplc="5E963C8E" w:tentative="1">
      <w:start w:val="1"/>
      <w:numFmt w:val="bullet"/>
      <w:lvlText w:val="•"/>
      <w:lvlJc w:val="left"/>
      <w:pPr>
        <w:tabs>
          <w:tab w:val="num" w:pos="5040"/>
        </w:tabs>
        <w:ind w:left="5040" w:hanging="360"/>
      </w:pPr>
      <w:rPr>
        <w:rFonts w:ascii="Arial" w:hAnsi="Arial" w:hint="default"/>
      </w:rPr>
    </w:lvl>
    <w:lvl w:ilvl="7" w:tplc="9040784E" w:tentative="1">
      <w:start w:val="1"/>
      <w:numFmt w:val="bullet"/>
      <w:lvlText w:val="•"/>
      <w:lvlJc w:val="left"/>
      <w:pPr>
        <w:tabs>
          <w:tab w:val="num" w:pos="5760"/>
        </w:tabs>
        <w:ind w:left="5760" w:hanging="360"/>
      </w:pPr>
      <w:rPr>
        <w:rFonts w:ascii="Arial" w:hAnsi="Arial" w:hint="default"/>
      </w:rPr>
    </w:lvl>
    <w:lvl w:ilvl="8" w:tplc="AE8A8332" w:tentative="1">
      <w:start w:val="1"/>
      <w:numFmt w:val="bullet"/>
      <w:lvlText w:val="•"/>
      <w:lvlJc w:val="left"/>
      <w:pPr>
        <w:tabs>
          <w:tab w:val="num" w:pos="6480"/>
        </w:tabs>
        <w:ind w:left="6480" w:hanging="360"/>
      </w:pPr>
      <w:rPr>
        <w:rFonts w:ascii="Arial" w:hAnsi="Arial" w:hint="default"/>
      </w:rPr>
    </w:lvl>
  </w:abstractNum>
  <w:abstractNum w:abstractNumId="6">
    <w:nsid w:val="38670449"/>
    <w:multiLevelType w:val="hybridMultilevel"/>
    <w:tmpl w:val="40A2D5BC"/>
    <w:lvl w:ilvl="0" w:tplc="261A0906">
      <w:start w:val="1"/>
      <w:numFmt w:val="bullet"/>
      <w:lvlText w:val="•"/>
      <w:lvlJc w:val="left"/>
      <w:pPr>
        <w:tabs>
          <w:tab w:val="num" w:pos="720"/>
        </w:tabs>
        <w:ind w:left="720" w:hanging="360"/>
      </w:pPr>
      <w:rPr>
        <w:rFonts w:ascii="Times New Roman" w:hAnsi="Times New Roman" w:hint="default"/>
      </w:rPr>
    </w:lvl>
    <w:lvl w:ilvl="1" w:tplc="95764B4E" w:tentative="1">
      <w:start w:val="1"/>
      <w:numFmt w:val="bullet"/>
      <w:lvlText w:val="•"/>
      <w:lvlJc w:val="left"/>
      <w:pPr>
        <w:tabs>
          <w:tab w:val="num" w:pos="1440"/>
        </w:tabs>
        <w:ind w:left="1440" w:hanging="360"/>
      </w:pPr>
      <w:rPr>
        <w:rFonts w:ascii="Times New Roman" w:hAnsi="Times New Roman" w:hint="default"/>
      </w:rPr>
    </w:lvl>
    <w:lvl w:ilvl="2" w:tplc="85BC2590" w:tentative="1">
      <w:start w:val="1"/>
      <w:numFmt w:val="bullet"/>
      <w:lvlText w:val="•"/>
      <w:lvlJc w:val="left"/>
      <w:pPr>
        <w:tabs>
          <w:tab w:val="num" w:pos="2160"/>
        </w:tabs>
        <w:ind w:left="2160" w:hanging="360"/>
      </w:pPr>
      <w:rPr>
        <w:rFonts w:ascii="Times New Roman" w:hAnsi="Times New Roman" w:hint="default"/>
      </w:rPr>
    </w:lvl>
    <w:lvl w:ilvl="3" w:tplc="5288B7AC" w:tentative="1">
      <w:start w:val="1"/>
      <w:numFmt w:val="bullet"/>
      <w:lvlText w:val="•"/>
      <w:lvlJc w:val="left"/>
      <w:pPr>
        <w:tabs>
          <w:tab w:val="num" w:pos="2880"/>
        </w:tabs>
        <w:ind w:left="2880" w:hanging="360"/>
      </w:pPr>
      <w:rPr>
        <w:rFonts w:ascii="Times New Roman" w:hAnsi="Times New Roman" w:hint="default"/>
      </w:rPr>
    </w:lvl>
    <w:lvl w:ilvl="4" w:tplc="CA62BA9C" w:tentative="1">
      <w:start w:val="1"/>
      <w:numFmt w:val="bullet"/>
      <w:lvlText w:val="•"/>
      <w:lvlJc w:val="left"/>
      <w:pPr>
        <w:tabs>
          <w:tab w:val="num" w:pos="3600"/>
        </w:tabs>
        <w:ind w:left="3600" w:hanging="360"/>
      </w:pPr>
      <w:rPr>
        <w:rFonts w:ascii="Times New Roman" w:hAnsi="Times New Roman" w:hint="default"/>
      </w:rPr>
    </w:lvl>
    <w:lvl w:ilvl="5" w:tplc="8CDA0410" w:tentative="1">
      <w:start w:val="1"/>
      <w:numFmt w:val="bullet"/>
      <w:lvlText w:val="•"/>
      <w:lvlJc w:val="left"/>
      <w:pPr>
        <w:tabs>
          <w:tab w:val="num" w:pos="4320"/>
        </w:tabs>
        <w:ind w:left="4320" w:hanging="360"/>
      </w:pPr>
      <w:rPr>
        <w:rFonts w:ascii="Times New Roman" w:hAnsi="Times New Roman" w:hint="default"/>
      </w:rPr>
    </w:lvl>
    <w:lvl w:ilvl="6" w:tplc="1B1C611C" w:tentative="1">
      <w:start w:val="1"/>
      <w:numFmt w:val="bullet"/>
      <w:lvlText w:val="•"/>
      <w:lvlJc w:val="left"/>
      <w:pPr>
        <w:tabs>
          <w:tab w:val="num" w:pos="5040"/>
        </w:tabs>
        <w:ind w:left="5040" w:hanging="360"/>
      </w:pPr>
      <w:rPr>
        <w:rFonts w:ascii="Times New Roman" w:hAnsi="Times New Roman" w:hint="default"/>
      </w:rPr>
    </w:lvl>
    <w:lvl w:ilvl="7" w:tplc="00FAF4A2" w:tentative="1">
      <w:start w:val="1"/>
      <w:numFmt w:val="bullet"/>
      <w:lvlText w:val="•"/>
      <w:lvlJc w:val="left"/>
      <w:pPr>
        <w:tabs>
          <w:tab w:val="num" w:pos="5760"/>
        </w:tabs>
        <w:ind w:left="5760" w:hanging="360"/>
      </w:pPr>
      <w:rPr>
        <w:rFonts w:ascii="Times New Roman" w:hAnsi="Times New Roman" w:hint="default"/>
      </w:rPr>
    </w:lvl>
    <w:lvl w:ilvl="8" w:tplc="954C0454" w:tentative="1">
      <w:start w:val="1"/>
      <w:numFmt w:val="bullet"/>
      <w:lvlText w:val="•"/>
      <w:lvlJc w:val="left"/>
      <w:pPr>
        <w:tabs>
          <w:tab w:val="num" w:pos="6480"/>
        </w:tabs>
        <w:ind w:left="6480" w:hanging="360"/>
      </w:pPr>
      <w:rPr>
        <w:rFonts w:ascii="Times New Roman" w:hAnsi="Times New Roman" w:hint="default"/>
      </w:rPr>
    </w:lvl>
  </w:abstractNum>
  <w:abstractNum w:abstractNumId="7">
    <w:nsid w:val="395B1CF3"/>
    <w:multiLevelType w:val="hybridMultilevel"/>
    <w:tmpl w:val="B2ACE2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D723F6"/>
    <w:multiLevelType w:val="hybridMultilevel"/>
    <w:tmpl w:val="BDDE8AF4"/>
    <w:lvl w:ilvl="0" w:tplc="4B4288E8">
      <w:start w:val="1"/>
      <w:numFmt w:val="bullet"/>
      <w:lvlText w:val="•"/>
      <w:lvlJc w:val="left"/>
      <w:pPr>
        <w:tabs>
          <w:tab w:val="num" w:pos="720"/>
        </w:tabs>
        <w:ind w:left="720" w:hanging="360"/>
      </w:pPr>
      <w:rPr>
        <w:rFonts w:ascii="Times New Roman" w:hAnsi="Times New Roman" w:hint="default"/>
      </w:rPr>
    </w:lvl>
    <w:lvl w:ilvl="1" w:tplc="D460E07E" w:tentative="1">
      <w:start w:val="1"/>
      <w:numFmt w:val="bullet"/>
      <w:lvlText w:val="•"/>
      <w:lvlJc w:val="left"/>
      <w:pPr>
        <w:tabs>
          <w:tab w:val="num" w:pos="1440"/>
        </w:tabs>
        <w:ind w:left="1440" w:hanging="360"/>
      </w:pPr>
      <w:rPr>
        <w:rFonts w:ascii="Times New Roman" w:hAnsi="Times New Roman" w:hint="default"/>
      </w:rPr>
    </w:lvl>
    <w:lvl w:ilvl="2" w:tplc="F2544ACC" w:tentative="1">
      <w:start w:val="1"/>
      <w:numFmt w:val="bullet"/>
      <w:lvlText w:val="•"/>
      <w:lvlJc w:val="left"/>
      <w:pPr>
        <w:tabs>
          <w:tab w:val="num" w:pos="2160"/>
        </w:tabs>
        <w:ind w:left="2160" w:hanging="360"/>
      </w:pPr>
      <w:rPr>
        <w:rFonts w:ascii="Times New Roman" w:hAnsi="Times New Roman" w:hint="default"/>
      </w:rPr>
    </w:lvl>
    <w:lvl w:ilvl="3" w:tplc="0C58D198" w:tentative="1">
      <w:start w:val="1"/>
      <w:numFmt w:val="bullet"/>
      <w:lvlText w:val="•"/>
      <w:lvlJc w:val="left"/>
      <w:pPr>
        <w:tabs>
          <w:tab w:val="num" w:pos="2880"/>
        </w:tabs>
        <w:ind w:left="2880" w:hanging="360"/>
      </w:pPr>
      <w:rPr>
        <w:rFonts w:ascii="Times New Roman" w:hAnsi="Times New Roman" w:hint="default"/>
      </w:rPr>
    </w:lvl>
    <w:lvl w:ilvl="4" w:tplc="4D02B2AE" w:tentative="1">
      <w:start w:val="1"/>
      <w:numFmt w:val="bullet"/>
      <w:lvlText w:val="•"/>
      <w:lvlJc w:val="left"/>
      <w:pPr>
        <w:tabs>
          <w:tab w:val="num" w:pos="3600"/>
        </w:tabs>
        <w:ind w:left="3600" w:hanging="360"/>
      </w:pPr>
      <w:rPr>
        <w:rFonts w:ascii="Times New Roman" w:hAnsi="Times New Roman" w:hint="default"/>
      </w:rPr>
    </w:lvl>
    <w:lvl w:ilvl="5" w:tplc="6E845430" w:tentative="1">
      <w:start w:val="1"/>
      <w:numFmt w:val="bullet"/>
      <w:lvlText w:val="•"/>
      <w:lvlJc w:val="left"/>
      <w:pPr>
        <w:tabs>
          <w:tab w:val="num" w:pos="4320"/>
        </w:tabs>
        <w:ind w:left="4320" w:hanging="360"/>
      </w:pPr>
      <w:rPr>
        <w:rFonts w:ascii="Times New Roman" w:hAnsi="Times New Roman" w:hint="default"/>
      </w:rPr>
    </w:lvl>
    <w:lvl w:ilvl="6" w:tplc="4BC05D76" w:tentative="1">
      <w:start w:val="1"/>
      <w:numFmt w:val="bullet"/>
      <w:lvlText w:val="•"/>
      <w:lvlJc w:val="left"/>
      <w:pPr>
        <w:tabs>
          <w:tab w:val="num" w:pos="5040"/>
        </w:tabs>
        <w:ind w:left="5040" w:hanging="360"/>
      </w:pPr>
      <w:rPr>
        <w:rFonts w:ascii="Times New Roman" w:hAnsi="Times New Roman" w:hint="default"/>
      </w:rPr>
    </w:lvl>
    <w:lvl w:ilvl="7" w:tplc="E3D0418E" w:tentative="1">
      <w:start w:val="1"/>
      <w:numFmt w:val="bullet"/>
      <w:lvlText w:val="•"/>
      <w:lvlJc w:val="left"/>
      <w:pPr>
        <w:tabs>
          <w:tab w:val="num" w:pos="5760"/>
        </w:tabs>
        <w:ind w:left="5760" w:hanging="360"/>
      </w:pPr>
      <w:rPr>
        <w:rFonts w:ascii="Times New Roman" w:hAnsi="Times New Roman" w:hint="default"/>
      </w:rPr>
    </w:lvl>
    <w:lvl w:ilvl="8" w:tplc="631211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50E35CE0"/>
    <w:multiLevelType w:val="hybridMultilevel"/>
    <w:tmpl w:val="AB5A4C80"/>
    <w:lvl w:ilvl="0" w:tplc="436CD946">
      <w:start w:val="1"/>
      <w:numFmt w:val="bullet"/>
      <w:lvlText w:val="•"/>
      <w:lvlJc w:val="left"/>
      <w:pPr>
        <w:tabs>
          <w:tab w:val="num" w:pos="720"/>
        </w:tabs>
        <w:ind w:left="720" w:hanging="360"/>
      </w:pPr>
      <w:rPr>
        <w:rFonts w:ascii="Arial" w:hAnsi="Arial" w:hint="default"/>
      </w:rPr>
    </w:lvl>
    <w:lvl w:ilvl="1" w:tplc="CD7CB54C" w:tentative="1">
      <w:start w:val="1"/>
      <w:numFmt w:val="bullet"/>
      <w:lvlText w:val="•"/>
      <w:lvlJc w:val="left"/>
      <w:pPr>
        <w:tabs>
          <w:tab w:val="num" w:pos="1440"/>
        </w:tabs>
        <w:ind w:left="1440" w:hanging="360"/>
      </w:pPr>
      <w:rPr>
        <w:rFonts w:ascii="Arial" w:hAnsi="Arial" w:hint="default"/>
      </w:rPr>
    </w:lvl>
    <w:lvl w:ilvl="2" w:tplc="D242CA5C" w:tentative="1">
      <w:start w:val="1"/>
      <w:numFmt w:val="bullet"/>
      <w:lvlText w:val="•"/>
      <w:lvlJc w:val="left"/>
      <w:pPr>
        <w:tabs>
          <w:tab w:val="num" w:pos="2160"/>
        </w:tabs>
        <w:ind w:left="2160" w:hanging="360"/>
      </w:pPr>
      <w:rPr>
        <w:rFonts w:ascii="Arial" w:hAnsi="Arial" w:hint="default"/>
      </w:rPr>
    </w:lvl>
    <w:lvl w:ilvl="3" w:tplc="E8467656" w:tentative="1">
      <w:start w:val="1"/>
      <w:numFmt w:val="bullet"/>
      <w:lvlText w:val="•"/>
      <w:lvlJc w:val="left"/>
      <w:pPr>
        <w:tabs>
          <w:tab w:val="num" w:pos="2880"/>
        </w:tabs>
        <w:ind w:left="2880" w:hanging="360"/>
      </w:pPr>
      <w:rPr>
        <w:rFonts w:ascii="Arial" w:hAnsi="Arial" w:hint="default"/>
      </w:rPr>
    </w:lvl>
    <w:lvl w:ilvl="4" w:tplc="57DACAAC" w:tentative="1">
      <w:start w:val="1"/>
      <w:numFmt w:val="bullet"/>
      <w:lvlText w:val="•"/>
      <w:lvlJc w:val="left"/>
      <w:pPr>
        <w:tabs>
          <w:tab w:val="num" w:pos="3600"/>
        </w:tabs>
        <w:ind w:left="3600" w:hanging="360"/>
      </w:pPr>
      <w:rPr>
        <w:rFonts w:ascii="Arial" w:hAnsi="Arial" w:hint="default"/>
      </w:rPr>
    </w:lvl>
    <w:lvl w:ilvl="5" w:tplc="DB98EB7E" w:tentative="1">
      <w:start w:val="1"/>
      <w:numFmt w:val="bullet"/>
      <w:lvlText w:val="•"/>
      <w:lvlJc w:val="left"/>
      <w:pPr>
        <w:tabs>
          <w:tab w:val="num" w:pos="4320"/>
        </w:tabs>
        <w:ind w:left="4320" w:hanging="360"/>
      </w:pPr>
      <w:rPr>
        <w:rFonts w:ascii="Arial" w:hAnsi="Arial" w:hint="default"/>
      </w:rPr>
    </w:lvl>
    <w:lvl w:ilvl="6" w:tplc="EF60C832" w:tentative="1">
      <w:start w:val="1"/>
      <w:numFmt w:val="bullet"/>
      <w:lvlText w:val="•"/>
      <w:lvlJc w:val="left"/>
      <w:pPr>
        <w:tabs>
          <w:tab w:val="num" w:pos="5040"/>
        </w:tabs>
        <w:ind w:left="5040" w:hanging="360"/>
      </w:pPr>
      <w:rPr>
        <w:rFonts w:ascii="Arial" w:hAnsi="Arial" w:hint="default"/>
      </w:rPr>
    </w:lvl>
    <w:lvl w:ilvl="7" w:tplc="BEFA38B2" w:tentative="1">
      <w:start w:val="1"/>
      <w:numFmt w:val="bullet"/>
      <w:lvlText w:val="•"/>
      <w:lvlJc w:val="left"/>
      <w:pPr>
        <w:tabs>
          <w:tab w:val="num" w:pos="5760"/>
        </w:tabs>
        <w:ind w:left="5760" w:hanging="360"/>
      </w:pPr>
      <w:rPr>
        <w:rFonts w:ascii="Arial" w:hAnsi="Arial" w:hint="default"/>
      </w:rPr>
    </w:lvl>
    <w:lvl w:ilvl="8" w:tplc="933043FC" w:tentative="1">
      <w:start w:val="1"/>
      <w:numFmt w:val="bullet"/>
      <w:lvlText w:val="•"/>
      <w:lvlJc w:val="left"/>
      <w:pPr>
        <w:tabs>
          <w:tab w:val="num" w:pos="6480"/>
        </w:tabs>
        <w:ind w:left="6480" w:hanging="360"/>
      </w:pPr>
      <w:rPr>
        <w:rFonts w:ascii="Arial" w:hAnsi="Arial" w:hint="default"/>
      </w:rPr>
    </w:lvl>
  </w:abstractNum>
  <w:abstractNum w:abstractNumId="10">
    <w:nsid w:val="57FB729F"/>
    <w:multiLevelType w:val="hybridMultilevel"/>
    <w:tmpl w:val="5F2C9D9C"/>
    <w:lvl w:ilvl="0" w:tplc="125A5C58">
      <w:start w:val="1"/>
      <w:numFmt w:val="bullet"/>
      <w:lvlText w:val="•"/>
      <w:lvlJc w:val="left"/>
      <w:pPr>
        <w:tabs>
          <w:tab w:val="num" w:pos="720"/>
        </w:tabs>
        <w:ind w:left="720" w:hanging="360"/>
      </w:pPr>
      <w:rPr>
        <w:rFonts w:ascii="Times New Roman" w:hAnsi="Times New Roman" w:hint="default"/>
      </w:rPr>
    </w:lvl>
    <w:lvl w:ilvl="1" w:tplc="FEA0D94C" w:tentative="1">
      <w:start w:val="1"/>
      <w:numFmt w:val="bullet"/>
      <w:lvlText w:val="•"/>
      <w:lvlJc w:val="left"/>
      <w:pPr>
        <w:tabs>
          <w:tab w:val="num" w:pos="1440"/>
        </w:tabs>
        <w:ind w:left="1440" w:hanging="360"/>
      </w:pPr>
      <w:rPr>
        <w:rFonts w:ascii="Times New Roman" w:hAnsi="Times New Roman" w:hint="default"/>
      </w:rPr>
    </w:lvl>
    <w:lvl w:ilvl="2" w:tplc="B45A9934" w:tentative="1">
      <w:start w:val="1"/>
      <w:numFmt w:val="bullet"/>
      <w:lvlText w:val="•"/>
      <w:lvlJc w:val="left"/>
      <w:pPr>
        <w:tabs>
          <w:tab w:val="num" w:pos="2160"/>
        </w:tabs>
        <w:ind w:left="2160" w:hanging="360"/>
      </w:pPr>
      <w:rPr>
        <w:rFonts w:ascii="Times New Roman" w:hAnsi="Times New Roman" w:hint="default"/>
      </w:rPr>
    </w:lvl>
    <w:lvl w:ilvl="3" w:tplc="C86A19F6" w:tentative="1">
      <w:start w:val="1"/>
      <w:numFmt w:val="bullet"/>
      <w:lvlText w:val="•"/>
      <w:lvlJc w:val="left"/>
      <w:pPr>
        <w:tabs>
          <w:tab w:val="num" w:pos="2880"/>
        </w:tabs>
        <w:ind w:left="2880" w:hanging="360"/>
      </w:pPr>
      <w:rPr>
        <w:rFonts w:ascii="Times New Roman" w:hAnsi="Times New Roman" w:hint="default"/>
      </w:rPr>
    </w:lvl>
    <w:lvl w:ilvl="4" w:tplc="5AA4CA5E" w:tentative="1">
      <w:start w:val="1"/>
      <w:numFmt w:val="bullet"/>
      <w:lvlText w:val="•"/>
      <w:lvlJc w:val="left"/>
      <w:pPr>
        <w:tabs>
          <w:tab w:val="num" w:pos="3600"/>
        </w:tabs>
        <w:ind w:left="3600" w:hanging="360"/>
      </w:pPr>
      <w:rPr>
        <w:rFonts w:ascii="Times New Roman" w:hAnsi="Times New Roman" w:hint="default"/>
      </w:rPr>
    </w:lvl>
    <w:lvl w:ilvl="5" w:tplc="F16EA8AC" w:tentative="1">
      <w:start w:val="1"/>
      <w:numFmt w:val="bullet"/>
      <w:lvlText w:val="•"/>
      <w:lvlJc w:val="left"/>
      <w:pPr>
        <w:tabs>
          <w:tab w:val="num" w:pos="4320"/>
        </w:tabs>
        <w:ind w:left="4320" w:hanging="360"/>
      </w:pPr>
      <w:rPr>
        <w:rFonts w:ascii="Times New Roman" w:hAnsi="Times New Roman" w:hint="default"/>
      </w:rPr>
    </w:lvl>
    <w:lvl w:ilvl="6" w:tplc="79D44DC8" w:tentative="1">
      <w:start w:val="1"/>
      <w:numFmt w:val="bullet"/>
      <w:lvlText w:val="•"/>
      <w:lvlJc w:val="left"/>
      <w:pPr>
        <w:tabs>
          <w:tab w:val="num" w:pos="5040"/>
        </w:tabs>
        <w:ind w:left="5040" w:hanging="360"/>
      </w:pPr>
      <w:rPr>
        <w:rFonts w:ascii="Times New Roman" w:hAnsi="Times New Roman" w:hint="default"/>
      </w:rPr>
    </w:lvl>
    <w:lvl w:ilvl="7" w:tplc="87320302" w:tentative="1">
      <w:start w:val="1"/>
      <w:numFmt w:val="bullet"/>
      <w:lvlText w:val="•"/>
      <w:lvlJc w:val="left"/>
      <w:pPr>
        <w:tabs>
          <w:tab w:val="num" w:pos="5760"/>
        </w:tabs>
        <w:ind w:left="5760" w:hanging="360"/>
      </w:pPr>
      <w:rPr>
        <w:rFonts w:ascii="Times New Roman" w:hAnsi="Times New Roman" w:hint="default"/>
      </w:rPr>
    </w:lvl>
    <w:lvl w:ilvl="8" w:tplc="D982E26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CA5008B"/>
    <w:multiLevelType w:val="hybridMultilevel"/>
    <w:tmpl w:val="E1F8A004"/>
    <w:lvl w:ilvl="0" w:tplc="3C8E5D92">
      <w:start w:val="1"/>
      <w:numFmt w:val="lowerLetter"/>
      <w:lvlText w:val="%1)"/>
      <w:lvlJc w:val="left"/>
      <w:pPr>
        <w:tabs>
          <w:tab w:val="num" w:pos="720"/>
        </w:tabs>
        <w:ind w:left="720" w:hanging="360"/>
      </w:pPr>
    </w:lvl>
    <w:lvl w:ilvl="1" w:tplc="1A1E3C24" w:tentative="1">
      <w:start w:val="1"/>
      <w:numFmt w:val="lowerLetter"/>
      <w:lvlText w:val="%2)"/>
      <w:lvlJc w:val="left"/>
      <w:pPr>
        <w:tabs>
          <w:tab w:val="num" w:pos="1440"/>
        </w:tabs>
        <w:ind w:left="1440" w:hanging="360"/>
      </w:pPr>
    </w:lvl>
    <w:lvl w:ilvl="2" w:tplc="7C5A0912" w:tentative="1">
      <w:start w:val="1"/>
      <w:numFmt w:val="lowerLetter"/>
      <w:lvlText w:val="%3)"/>
      <w:lvlJc w:val="left"/>
      <w:pPr>
        <w:tabs>
          <w:tab w:val="num" w:pos="2160"/>
        </w:tabs>
        <w:ind w:left="2160" w:hanging="360"/>
      </w:pPr>
    </w:lvl>
    <w:lvl w:ilvl="3" w:tplc="79F2BA7C" w:tentative="1">
      <w:start w:val="1"/>
      <w:numFmt w:val="lowerLetter"/>
      <w:lvlText w:val="%4)"/>
      <w:lvlJc w:val="left"/>
      <w:pPr>
        <w:tabs>
          <w:tab w:val="num" w:pos="2880"/>
        </w:tabs>
        <w:ind w:left="2880" w:hanging="360"/>
      </w:pPr>
    </w:lvl>
    <w:lvl w:ilvl="4" w:tplc="C628702E" w:tentative="1">
      <w:start w:val="1"/>
      <w:numFmt w:val="lowerLetter"/>
      <w:lvlText w:val="%5)"/>
      <w:lvlJc w:val="left"/>
      <w:pPr>
        <w:tabs>
          <w:tab w:val="num" w:pos="3600"/>
        </w:tabs>
        <w:ind w:left="3600" w:hanging="360"/>
      </w:pPr>
    </w:lvl>
    <w:lvl w:ilvl="5" w:tplc="05865088" w:tentative="1">
      <w:start w:val="1"/>
      <w:numFmt w:val="lowerLetter"/>
      <w:lvlText w:val="%6)"/>
      <w:lvlJc w:val="left"/>
      <w:pPr>
        <w:tabs>
          <w:tab w:val="num" w:pos="4320"/>
        </w:tabs>
        <w:ind w:left="4320" w:hanging="360"/>
      </w:pPr>
    </w:lvl>
    <w:lvl w:ilvl="6" w:tplc="C02868B2" w:tentative="1">
      <w:start w:val="1"/>
      <w:numFmt w:val="lowerLetter"/>
      <w:lvlText w:val="%7)"/>
      <w:lvlJc w:val="left"/>
      <w:pPr>
        <w:tabs>
          <w:tab w:val="num" w:pos="5040"/>
        </w:tabs>
        <w:ind w:left="5040" w:hanging="360"/>
      </w:pPr>
    </w:lvl>
    <w:lvl w:ilvl="7" w:tplc="FD5AF19A" w:tentative="1">
      <w:start w:val="1"/>
      <w:numFmt w:val="lowerLetter"/>
      <w:lvlText w:val="%8)"/>
      <w:lvlJc w:val="left"/>
      <w:pPr>
        <w:tabs>
          <w:tab w:val="num" w:pos="5760"/>
        </w:tabs>
        <w:ind w:left="5760" w:hanging="360"/>
      </w:pPr>
    </w:lvl>
    <w:lvl w:ilvl="8" w:tplc="4ECEA944" w:tentative="1">
      <w:start w:val="1"/>
      <w:numFmt w:val="lowerLetter"/>
      <w:lvlText w:val="%9)"/>
      <w:lvlJc w:val="left"/>
      <w:pPr>
        <w:tabs>
          <w:tab w:val="num" w:pos="6480"/>
        </w:tabs>
        <w:ind w:left="6480" w:hanging="360"/>
      </w:pPr>
    </w:lvl>
  </w:abstractNum>
  <w:abstractNum w:abstractNumId="12">
    <w:nsid w:val="6ED832AE"/>
    <w:multiLevelType w:val="hybridMultilevel"/>
    <w:tmpl w:val="DE808A74"/>
    <w:lvl w:ilvl="0" w:tplc="1A78B000">
      <w:start w:val="1"/>
      <w:numFmt w:val="bullet"/>
      <w:lvlText w:val="•"/>
      <w:lvlJc w:val="left"/>
      <w:pPr>
        <w:tabs>
          <w:tab w:val="num" w:pos="720"/>
        </w:tabs>
        <w:ind w:left="720" w:hanging="360"/>
      </w:pPr>
      <w:rPr>
        <w:rFonts w:ascii="Times New Roman" w:hAnsi="Times New Roman" w:hint="default"/>
      </w:rPr>
    </w:lvl>
    <w:lvl w:ilvl="1" w:tplc="5FC464DE" w:tentative="1">
      <w:start w:val="1"/>
      <w:numFmt w:val="bullet"/>
      <w:lvlText w:val="•"/>
      <w:lvlJc w:val="left"/>
      <w:pPr>
        <w:tabs>
          <w:tab w:val="num" w:pos="1440"/>
        </w:tabs>
        <w:ind w:left="1440" w:hanging="360"/>
      </w:pPr>
      <w:rPr>
        <w:rFonts w:ascii="Times New Roman" w:hAnsi="Times New Roman" w:hint="default"/>
      </w:rPr>
    </w:lvl>
    <w:lvl w:ilvl="2" w:tplc="FA66D78A" w:tentative="1">
      <w:start w:val="1"/>
      <w:numFmt w:val="bullet"/>
      <w:lvlText w:val="•"/>
      <w:lvlJc w:val="left"/>
      <w:pPr>
        <w:tabs>
          <w:tab w:val="num" w:pos="2160"/>
        </w:tabs>
        <w:ind w:left="2160" w:hanging="360"/>
      </w:pPr>
      <w:rPr>
        <w:rFonts w:ascii="Times New Roman" w:hAnsi="Times New Roman" w:hint="default"/>
      </w:rPr>
    </w:lvl>
    <w:lvl w:ilvl="3" w:tplc="6EC61BD6" w:tentative="1">
      <w:start w:val="1"/>
      <w:numFmt w:val="bullet"/>
      <w:lvlText w:val="•"/>
      <w:lvlJc w:val="left"/>
      <w:pPr>
        <w:tabs>
          <w:tab w:val="num" w:pos="2880"/>
        </w:tabs>
        <w:ind w:left="2880" w:hanging="360"/>
      </w:pPr>
      <w:rPr>
        <w:rFonts w:ascii="Times New Roman" w:hAnsi="Times New Roman" w:hint="default"/>
      </w:rPr>
    </w:lvl>
    <w:lvl w:ilvl="4" w:tplc="413E56D4" w:tentative="1">
      <w:start w:val="1"/>
      <w:numFmt w:val="bullet"/>
      <w:lvlText w:val="•"/>
      <w:lvlJc w:val="left"/>
      <w:pPr>
        <w:tabs>
          <w:tab w:val="num" w:pos="3600"/>
        </w:tabs>
        <w:ind w:left="3600" w:hanging="360"/>
      </w:pPr>
      <w:rPr>
        <w:rFonts w:ascii="Times New Roman" w:hAnsi="Times New Roman" w:hint="default"/>
      </w:rPr>
    </w:lvl>
    <w:lvl w:ilvl="5" w:tplc="83DE5A22" w:tentative="1">
      <w:start w:val="1"/>
      <w:numFmt w:val="bullet"/>
      <w:lvlText w:val="•"/>
      <w:lvlJc w:val="left"/>
      <w:pPr>
        <w:tabs>
          <w:tab w:val="num" w:pos="4320"/>
        </w:tabs>
        <w:ind w:left="4320" w:hanging="360"/>
      </w:pPr>
      <w:rPr>
        <w:rFonts w:ascii="Times New Roman" w:hAnsi="Times New Roman" w:hint="default"/>
      </w:rPr>
    </w:lvl>
    <w:lvl w:ilvl="6" w:tplc="4FF4C4C0" w:tentative="1">
      <w:start w:val="1"/>
      <w:numFmt w:val="bullet"/>
      <w:lvlText w:val="•"/>
      <w:lvlJc w:val="left"/>
      <w:pPr>
        <w:tabs>
          <w:tab w:val="num" w:pos="5040"/>
        </w:tabs>
        <w:ind w:left="5040" w:hanging="360"/>
      </w:pPr>
      <w:rPr>
        <w:rFonts w:ascii="Times New Roman" w:hAnsi="Times New Roman" w:hint="default"/>
      </w:rPr>
    </w:lvl>
    <w:lvl w:ilvl="7" w:tplc="95463848" w:tentative="1">
      <w:start w:val="1"/>
      <w:numFmt w:val="bullet"/>
      <w:lvlText w:val="•"/>
      <w:lvlJc w:val="left"/>
      <w:pPr>
        <w:tabs>
          <w:tab w:val="num" w:pos="5760"/>
        </w:tabs>
        <w:ind w:left="5760" w:hanging="360"/>
      </w:pPr>
      <w:rPr>
        <w:rFonts w:ascii="Times New Roman" w:hAnsi="Times New Roman" w:hint="default"/>
      </w:rPr>
    </w:lvl>
    <w:lvl w:ilvl="8" w:tplc="74DA28B2"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8"/>
  </w:num>
  <w:num w:numId="3">
    <w:abstractNumId w:val="12"/>
  </w:num>
  <w:num w:numId="4">
    <w:abstractNumId w:val="6"/>
  </w:num>
  <w:num w:numId="5">
    <w:abstractNumId w:val="1"/>
  </w:num>
  <w:num w:numId="6">
    <w:abstractNumId w:val="11"/>
  </w:num>
  <w:num w:numId="7">
    <w:abstractNumId w:val="5"/>
  </w:num>
  <w:num w:numId="8">
    <w:abstractNumId w:val="4"/>
  </w:num>
  <w:num w:numId="9">
    <w:abstractNumId w:val="9"/>
  </w:num>
  <w:num w:numId="10">
    <w:abstractNumId w:val="0"/>
  </w:num>
  <w:num w:numId="11">
    <w:abstractNumId w:val="2"/>
  </w:num>
  <w:num w:numId="12">
    <w:abstractNumId w:val="3"/>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12290"/>
    <o:shapelayout v:ext="edit">
      <o:idmap v:ext="edit" data="4"/>
    </o:shapelayout>
  </w:hdrShapeDefaults>
  <w:footnotePr>
    <w:footnote w:id="-1"/>
    <w:footnote w:id="0"/>
  </w:footnotePr>
  <w:endnotePr>
    <w:endnote w:id="-1"/>
    <w:endnote w:id="0"/>
  </w:endnotePr>
  <w:compat/>
  <w:rsids>
    <w:rsidRoot w:val="00562D20"/>
    <w:rsid w:val="00017953"/>
    <w:rsid w:val="00050784"/>
    <w:rsid w:val="00093E98"/>
    <w:rsid w:val="000B7209"/>
    <w:rsid w:val="00164109"/>
    <w:rsid w:val="001810D6"/>
    <w:rsid w:val="001817A0"/>
    <w:rsid w:val="001D3CF9"/>
    <w:rsid w:val="003234EF"/>
    <w:rsid w:val="00335F3A"/>
    <w:rsid w:val="003A1D9C"/>
    <w:rsid w:val="003D6BE2"/>
    <w:rsid w:val="00442456"/>
    <w:rsid w:val="00447AE4"/>
    <w:rsid w:val="004750B6"/>
    <w:rsid w:val="004A7880"/>
    <w:rsid w:val="004D050B"/>
    <w:rsid w:val="00562D20"/>
    <w:rsid w:val="00612A57"/>
    <w:rsid w:val="00675A87"/>
    <w:rsid w:val="006D6A20"/>
    <w:rsid w:val="007447AA"/>
    <w:rsid w:val="00767523"/>
    <w:rsid w:val="00797E8E"/>
    <w:rsid w:val="007E0C83"/>
    <w:rsid w:val="00885FD4"/>
    <w:rsid w:val="00896DE0"/>
    <w:rsid w:val="009D245E"/>
    <w:rsid w:val="00A066A8"/>
    <w:rsid w:val="00A37FD5"/>
    <w:rsid w:val="00AB5B5D"/>
    <w:rsid w:val="00B602CD"/>
    <w:rsid w:val="00B81521"/>
    <w:rsid w:val="00C15C5D"/>
    <w:rsid w:val="00C24F9D"/>
    <w:rsid w:val="00CB1619"/>
    <w:rsid w:val="00CF0A77"/>
    <w:rsid w:val="00D375F0"/>
    <w:rsid w:val="00D41C18"/>
    <w:rsid w:val="00D979C8"/>
    <w:rsid w:val="00E34369"/>
    <w:rsid w:val="00E55777"/>
    <w:rsid w:val="00E77661"/>
    <w:rsid w:val="00ED23F0"/>
    <w:rsid w:val="00F2763A"/>
    <w:rsid w:val="00F6450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AE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62D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2D20"/>
    <w:rPr>
      <w:rFonts w:ascii="Tahoma" w:hAnsi="Tahoma" w:cs="Tahoma"/>
      <w:sz w:val="16"/>
      <w:szCs w:val="16"/>
    </w:rPr>
  </w:style>
  <w:style w:type="paragraph" w:styleId="Prrafodelista">
    <w:name w:val="List Paragraph"/>
    <w:basedOn w:val="Normal"/>
    <w:uiPriority w:val="34"/>
    <w:qFormat/>
    <w:rsid w:val="00F6450B"/>
    <w:pPr>
      <w:spacing w:after="0" w:line="240" w:lineRule="auto"/>
      <w:ind w:left="720"/>
      <w:contextualSpacing/>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4A78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7880"/>
  </w:style>
  <w:style w:type="paragraph" w:styleId="Piedepgina">
    <w:name w:val="footer"/>
    <w:basedOn w:val="Normal"/>
    <w:link w:val="PiedepginaCar"/>
    <w:uiPriority w:val="99"/>
    <w:unhideWhenUsed/>
    <w:rsid w:val="004A78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7880"/>
  </w:style>
  <w:style w:type="paragraph" w:styleId="Sinespaciado">
    <w:name w:val="No Spacing"/>
    <w:link w:val="SinespaciadoCar"/>
    <w:uiPriority w:val="1"/>
    <w:qFormat/>
    <w:rsid w:val="004A78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A7880"/>
    <w:rPr>
      <w:rFonts w:eastAsiaTheme="minorEastAsia"/>
      <w:lang w:val="es-ES"/>
    </w:rPr>
  </w:style>
  <w:style w:type="paragraph" w:styleId="Textonotapie">
    <w:name w:val="footnote text"/>
    <w:basedOn w:val="Normal"/>
    <w:link w:val="TextonotapieCar"/>
    <w:uiPriority w:val="99"/>
    <w:semiHidden/>
    <w:unhideWhenUsed/>
    <w:rsid w:val="00B815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1521"/>
    <w:rPr>
      <w:sz w:val="20"/>
      <w:szCs w:val="20"/>
    </w:rPr>
  </w:style>
  <w:style w:type="character" w:styleId="Refdenotaalpie">
    <w:name w:val="footnote reference"/>
    <w:basedOn w:val="Fuentedeprrafopredeter"/>
    <w:uiPriority w:val="99"/>
    <w:semiHidden/>
    <w:unhideWhenUsed/>
    <w:rsid w:val="00B81521"/>
    <w:rPr>
      <w:vertAlign w:val="superscript"/>
    </w:rPr>
  </w:style>
  <w:style w:type="paragraph" w:customStyle="1" w:styleId="Default">
    <w:name w:val="Default"/>
    <w:rsid w:val="00AB5B5D"/>
    <w:pPr>
      <w:autoSpaceDE w:val="0"/>
      <w:autoSpaceDN w:val="0"/>
      <w:adjustRightInd w:val="0"/>
      <w:spacing w:after="0" w:line="240" w:lineRule="auto"/>
    </w:pPr>
    <w:rPr>
      <w:rFonts w:ascii="Garamond" w:hAnsi="Garamond" w:cs="Garamond"/>
      <w:color w:val="000000"/>
      <w:sz w:val="24"/>
      <w:szCs w:val="24"/>
    </w:rPr>
  </w:style>
  <w:style w:type="character" w:styleId="Hipervnculo">
    <w:name w:val="Hyperlink"/>
    <w:basedOn w:val="Fuentedeprrafopredeter"/>
    <w:uiPriority w:val="99"/>
    <w:unhideWhenUsed/>
    <w:rsid w:val="00CF0A7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969361">
      <w:bodyDiv w:val="1"/>
      <w:marLeft w:val="0"/>
      <w:marRight w:val="0"/>
      <w:marTop w:val="0"/>
      <w:marBottom w:val="0"/>
      <w:divBdr>
        <w:top w:val="none" w:sz="0" w:space="0" w:color="auto"/>
        <w:left w:val="none" w:sz="0" w:space="0" w:color="auto"/>
        <w:bottom w:val="none" w:sz="0" w:space="0" w:color="auto"/>
        <w:right w:val="none" w:sz="0" w:space="0" w:color="auto"/>
      </w:divBdr>
      <w:divsChild>
        <w:div w:id="1466969776">
          <w:marLeft w:val="288"/>
          <w:marRight w:val="0"/>
          <w:marTop w:val="0"/>
          <w:marBottom w:val="0"/>
          <w:divBdr>
            <w:top w:val="none" w:sz="0" w:space="0" w:color="auto"/>
            <w:left w:val="none" w:sz="0" w:space="0" w:color="auto"/>
            <w:bottom w:val="none" w:sz="0" w:space="0" w:color="auto"/>
            <w:right w:val="none" w:sz="0" w:space="0" w:color="auto"/>
          </w:divBdr>
        </w:div>
        <w:div w:id="670836813">
          <w:marLeft w:val="288"/>
          <w:marRight w:val="0"/>
          <w:marTop w:val="0"/>
          <w:marBottom w:val="0"/>
          <w:divBdr>
            <w:top w:val="none" w:sz="0" w:space="0" w:color="auto"/>
            <w:left w:val="none" w:sz="0" w:space="0" w:color="auto"/>
            <w:bottom w:val="none" w:sz="0" w:space="0" w:color="auto"/>
            <w:right w:val="none" w:sz="0" w:space="0" w:color="auto"/>
          </w:divBdr>
        </w:div>
        <w:div w:id="1041396466">
          <w:marLeft w:val="288"/>
          <w:marRight w:val="0"/>
          <w:marTop w:val="0"/>
          <w:marBottom w:val="0"/>
          <w:divBdr>
            <w:top w:val="none" w:sz="0" w:space="0" w:color="auto"/>
            <w:left w:val="none" w:sz="0" w:space="0" w:color="auto"/>
            <w:bottom w:val="none" w:sz="0" w:space="0" w:color="auto"/>
            <w:right w:val="none" w:sz="0" w:space="0" w:color="auto"/>
          </w:divBdr>
        </w:div>
        <w:div w:id="1420520234">
          <w:marLeft w:val="288"/>
          <w:marRight w:val="0"/>
          <w:marTop w:val="0"/>
          <w:marBottom w:val="0"/>
          <w:divBdr>
            <w:top w:val="none" w:sz="0" w:space="0" w:color="auto"/>
            <w:left w:val="none" w:sz="0" w:space="0" w:color="auto"/>
            <w:bottom w:val="none" w:sz="0" w:space="0" w:color="auto"/>
            <w:right w:val="none" w:sz="0" w:space="0" w:color="auto"/>
          </w:divBdr>
        </w:div>
        <w:div w:id="937714534">
          <w:marLeft w:val="288"/>
          <w:marRight w:val="0"/>
          <w:marTop w:val="0"/>
          <w:marBottom w:val="0"/>
          <w:divBdr>
            <w:top w:val="none" w:sz="0" w:space="0" w:color="auto"/>
            <w:left w:val="none" w:sz="0" w:space="0" w:color="auto"/>
            <w:bottom w:val="none" w:sz="0" w:space="0" w:color="auto"/>
            <w:right w:val="none" w:sz="0" w:space="0" w:color="auto"/>
          </w:divBdr>
        </w:div>
        <w:div w:id="1508137730">
          <w:marLeft w:val="288"/>
          <w:marRight w:val="0"/>
          <w:marTop w:val="0"/>
          <w:marBottom w:val="0"/>
          <w:divBdr>
            <w:top w:val="none" w:sz="0" w:space="0" w:color="auto"/>
            <w:left w:val="none" w:sz="0" w:space="0" w:color="auto"/>
            <w:bottom w:val="none" w:sz="0" w:space="0" w:color="auto"/>
            <w:right w:val="none" w:sz="0" w:space="0" w:color="auto"/>
          </w:divBdr>
        </w:div>
      </w:divsChild>
    </w:div>
    <w:div w:id="164637621">
      <w:bodyDiv w:val="1"/>
      <w:marLeft w:val="0"/>
      <w:marRight w:val="0"/>
      <w:marTop w:val="0"/>
      <w:marBottom w:val="0"/>
      <w:divBdr>
        <w:top w:val="none" w:sz="0" w:space="0" w:color="auto"/>
        <w:left w:val="none" w:sz="0" w:space="0" w:color="auto"/>
        <w:bottom w:val="none" w:sz="0" w:space="0" w:color="auto"/>
        <w:right w:val="none" w:sz="0" w:space="0" w:color="auto"/>
      </w:divBdr>
    </w:div>
    <w:div w:id="176237988">
      <w:bodyDiv w:val="1"/>
      <w:marLeft w:val="0"/>
      <w:marRight w:val="0"/>
      <w:marTop w:val="0"/>
      <w:marBottom w:val="0"/>
      <w:divBdr>
        <w:top w:val="none" w:sz="0" w:space="0" w:color="auto"/>
        <w:left w:val="none" w:sz="0" w:space="0" w:color="auto"/>
        <w:bottom w:val="none" w:sz="0" w:space="0" w:color="auto"/>
        <w:right w:val="none" w:sz="0" w:space="0" w:color="auto"/>
      </w:divBdr>
    </w:div>
    <w:div w:id="196823120">
      <w:bodyDiv w:val="1"/>
      <w:marLeft w:val="0"/>
      <w:marRight w:val="0"/>
      <w:marTop w:val="0"/>
      <w:marBottom w:val="0"/>
      <w:divBdr>
        <w:top w:val="none" w:sz="0" w:space="0" w:color="auto"/>
        <w:left w:val="none" w:sz="0" w:space="0" w:color="auto"/>
        <w:bottom w:val="none" w:sz="0" w:space="0" w:color="auto"/>
        <w:right w:val="none" w:sz="0" w:space="0" w:color="auto"/>
      </w:divBdr>
    </w:div>
    <w:div w:id="221989233">
      <w:bodyDiv w:val="1"/>
      <w:marLeft w:val="0"/>
      <w:marRight w:val="0"/>
      <w:marTop w:val="0"/>
      <w:marBottom w:val="0"/>
      <w:divBdr>
        <w:top w:val="none" w:sz="0" w:space="0" w:color="auto"/>
        <w:left w:val="none" w:sz="0" w:space="0" w:color="auto"/>
        <w:bottom w:val="none" w:sz="0" w:space="0" w:color="auto"/>
        <w:right w:val="none" w:sz="0" w:space="0" w:color="auto"/>
      </w:divBdr>
      <w:divsChild>
        <w:div w:id="909735915">
          <w:marLeft w:val="547"/>
          <w:marRight w:val="0"/>
          <w:marTop w:val="0"/>
          <w:marBottom w:val="0"/>
          <w:divBdr>
            <w:top w:val="none" w:sz="0" w:space="0" w:color="auto"/>
            <w:left w:val="none" w:sz="0" w:space="0" w:color="auto"/>
            <w:bottom w:val="none" w:sz="0" w:space="0" w:color="auto"/>
            <w:right w:val="none" w:sz="0" w:space="0" w:color="auto"/>
          </w:divBdr>
        </w:div>
      </w:divsChild>
    </w:div>
    <w:div w:id="619188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4993">
          <w:marLeft w:val="547"/>
          <w:marRight w:val="0"/>
          <w:marTop w:val="0"/>
          <w:marBottom w:val="0"/>
          <w:divBdr>
            <w:top w:val="none" w:sz="0" w:space="0" w:color="auto"/>
            <w:left w:val="none" w:sz="0" w:space="0" w:color="auto"/>
            <w:bottom w:val="none" w:sz="0" w:space="0" w:color="auto"/>
            <w:right w:val="none" w:sz="0" w:space="0" w:color="auto"/>
          </w:divBdr>
        </w:div>
      </w:divsChild>
    </w:div>
    <w:div w:id="810370678">
      <w:bodyDiv w:val="1"/>
      <w:marLeft w:val="0"/>
      <w:marRight w:val="0"/>
      <w:marTop w:val="0"/>
      <w:marBottom w:val="0"/>
      <w:divBdr>
        <w:top w:val="none" w:sz="0" w:space="0" w:color="auto"/>
        <w:left w:val="none" w:sz="0" w:space="0" w:color="auto"/>
        <w:bottom w:val="none" w:sz="0" w:space="0" w:color="auto"/>
        <w:right w:val="none" w:sz="0" w:space="0" w:color="auto"/>
      </w:divBdr>
    </w:div>
    <w:div w:id="821121539">
      <w:bodyDiv w:val="1"/>
      <w:marLeft w:val="0"/>
      <w:marRight w:val="0"/>
      <w:marTop w:val="0"/>
      <w:marBottom w:val="0"/>
      <w:divBdr>
        <w:top w:val="none" w:sz="0" w:space="0" w:color="auto"/>
        <w:left w:val="none" w:sz="0" w:space="0" w:color="auto"/>
        <w:bottom w:val="none" w:sz="0" w:space="0" w:color="auto"/>
        <w:right w:val="none" w:sz="0" w:space="0" w:color="auto"/>
      </w:divBdr>
      <w:divsChild>
        <w:div w:id="850876200">
          <w:marLeft w:val="547"/>
          <w:marRight w:val="0"/>
          <w:marTop w:val="0"/>
          <w:marBottom w:val="0"/>
          <w:divBdr>
            <w:top w:val="none" w:sz="0" w:space="0" w:color="auto"/>
            <w:left w:val="none" w:sz="0" w:space="0" w:color="auto"/>
            <w:bottom w:val="none" w:sz="0" w:space="0" w:color="auto"/>
            <w:right w:val="none" w:sz="0" w:space="0" w:color="auto"/>
          </w:divBdr>
        </w:div>
      </w:divsChild>
    </w:div>
    <w:div w:id="1387221438">
      <w:bodyDiv w:val="1"/>
      <w:marLeft w:val="0"/>
      <w:marRight w:val="0"/>
      <w:marTop w:val="0"/>
      <w:marBottom w:val="0"/>
      <w:divBdr>
        <w:top w:val="none" w:sz="0" w:space="0" w:color="auto"/>
        <w:left w:val="none" w:sz="0" w:space="0" w:color="auto"/>
        <w:bottom w:val="none" w:sz="0" w:space="0" w:color="auto"/>
        <w:right w:val="none" w:sz="0" w:space="0" w:color="auto"/>
      </w:divBdr>
      <w:divsChild>
        <w:div w:id="481656828">
          <w:marLeft w:val="547"/>
          <w:marRight w:val="0"/>
          <w:marTop w:val="0"/>
          <w:marBottom w:val="0"/>
          <w:divBdr>
            <w:top w:val="none" w:sz="0" w:space="0" w:color="auto"/>
            <w:left w:val="none" w:sz="0" w:space="0" w:color="auto"/>
            <w:bottom w:val="none" w:sz="0" w:space="0" w:color="auto"/>
            <w:right w:val="none" w:sz="0" w:space="0" w:color="auto"/>
          </w:divBdr>
        </w:div>
        <w:div w:id="599990367">
          <w:marLeft w:val="547"/>
          <w:marRight w:val="0"/>
          <w:marTop w:val="0"/>
          <w:marBottom w:val="0"/>
          <w:divBdr>
            <w:top w:val="none" w:sz="0" w:space="0" w:color="auto"/>
            <w:left w:val="none" w:sz="0" w:space="0" w:color="auto"/>
            <w:bottom w:val="none" w:sz="0" w:space="0" w:color="auto"/>
            <w:right w:val="none" w:sz="0" w:space="0" w:color="auto"/>
          </w:divBdr>
        </w:div>
        <w:div w:id="1984235186">
          <w:marLeft w:val="547"/>
          <w:marRight w:val="0"/>
          <w:marTop w:val="0"/>
          <w:marBottom w:val="0"/>
          <w:divBdr>
            <w:top w:val="none" w:sz="0" w:space="0" w:color="auto"/>
            <w:left w:val="none" w:sz="0" w:space="0" w:color="auto"/>
            <w:bottom w:val="none" w:sz="0" w:space="0" w:color="auto"/>
            <w:right w:val="none" w:sz="0" w:space="0" w:color="auto"/>
          </w:divBdr>
        </w:div>
      </w:divsChild>
    </w:div>
    <w:div w:id="1753622626">
      <w:bodyDiv w:val="1"/>
      <w:marLeft w:val="0"/>
      <w:marRight w:val="0"/>
      <w:marTop w:val="0"/>
      <w:marBottom w:val="0"/>
      <w:divBdr>
        <w:top w:val="none" w:sz="0" w:space="0" w:color="auto"/>
        <w:left w:val="none" w:sz="0" w:space="0" w:color="auto"/>
        <w:bottom w:val="none" w:sz="0" w:space="0" w:color="auto"/>
        <w:right w:val="none" w:sz="0" w:space="0" w:color="auto"/>
      </w:divBdr>
      <w:divsChild>
        <w:div w:id="1869635059">
          <w:marLeft w:val="547"/>
          <w:marRight w:val="0"/>
          <w:marTop w:val="0"/>
          <w:marBottom w:val="0"/>
          <w:divBdr>
            <w:top w:val="none" w:sz="0" w:space="0" w:color="auto"/>
            <w:left w:val="none" w:sz="0" w:space="0" w:color="auto"/>
            <w:bottom w:val="none" w:sz="0" w:space="0" w:color="auto"/>
            <w:right w:val="none" w:sz="0" w:space="0" w:color="auto"/>
          </w:divBdr>
        </w:div>
      </w:divsChild>
    </w:div>
    <w:div w:id="1886914174">
      <w:bodyDiv w:val="1"/>
      <w:marLeft w:val="0"/>
      <w:marRight w:val="0"/>
      <w:marTop w:val="0"/>
      <w:marBottom w:val="0"/>
      <w:divBdr>
        <w:top w:val="none" w:sz="0" w:space="0" w:color="auto"/>
        <w:left w:val="none" w:sz="0" w:space="0" w:color="auto"/>
        <w:bottom w:val="none" w:sz="0" w:space="0" w:color="auto"/>
        <w:right w:val="none" w:sz="0" w:space="0" w:color="auto"/>
      </w:divBdr>
    </w:div>
    <w:div w:id="1910532518">
      <w:bodyDiv w:val="1"/>
      <w:marLeft w:val="0"/>
      <w:marRight w:val="0"/>
      <w:marTop w:val="0"/>
      <w:marBottom w:val="0"/>
      <w:divBdr>
        <w:top w:val="none" w:sz="0" w:space="0" w:color="auto"/>
        <w:left w:val="none" w:sz="0" w:space="0" w:color="auto"/>
        <w:bottom w:val="none" w:sz="0" w:space="0" w:color="auto"/>
        <w:right w:val="none" w:sz="0" w:space="0" w:color="auto"/>
      </w:divBdr>
      <w:divsChild>
        <w:div w:id="128941429">
          <w:marLeft w:val="547"/>
          <w:marRight w:val="0"/>
          <w:marTop w:val="0"/>
          <w:marBottom w:val="0"/>
          <w:divBdr>
            <w:top w:val="none" w:sz="0" w:space="0" w:color="auto"/>
            <w:left w:val="none" w:sz="0" w:space="0" w:color="auto"/>
            <w:bottom w:val="none" w:sz="0" w:space="0" w:color="auto"/>
            <w:right w:val="none" w:sz="0" w:space="0" w:color="auto"/>
          </w:divBdr>
        </w:div>
        <w:div w:id="468283725">
          <w:marLeft w:val="547"/>
          <w:marRight w:val="0"/>
          <w:marTop w:val="0"/>
          <w:marBottom w:val="0"/>
          <w:divBdr>
            <w:top w:val="none" w:sz="0" w:space="0" w:color="auto"/>
            <w:left w:val="none" w:sz="0" w:space="0" w:color="auto"/>
            <w:bottom w:val="none" w:sz="0" w:space="0" w:color="auto"/>
            <w:right w:val="none" w:sz="0" w:space="0" w:color="auto"/>
          </w:divBdr>
        </w:div>
        <w:div w:id="1040857095">
          <w:marLeft w:val="547"/>
          <w:marRight w:val="0"/>
          <w:marTop w:val="0"/>
          <w:marBottom w:val="0"/>
          <w:divBdr>
            <w:top w:val="none" w:sz="0" w:space="0" w:color="auto"/>
            <w:left w:val="none" w:sz="0" w:space="0" w:color="auto"/>
            <w:bottom w:val="none" w:sz="0" w:space="0" w:color="auto"/>
            <w:right w:val="none" w:sz="0" w:space="0" w:color="auto"/>
          </w:divBdr>
        </w:div>
        <w:div w:id="10302974">
          <w:marLeft w:val="547"/>
          <w:marRight w:val="0"/>
          <w:marTop w:val="0"/>
          <w:marBottom w:val="0"/>
          <w:divBdr>
            <w:top w:val="none" w:sz="0" w:space="0" w:color="auto"/>
            <w:left w:val="none" w:sz="0" w:space="0" w:color="auto"/>
            <w:bottom w:val="none" w:sz="0" w:space="0" w:color="auto"/>
            <w:right w:val="none" w:sz="0" w:space="0" w:color="auto"/>
          </w:divBdr>
        </w:div>
        <w:div w:id="2047368277">
          <w:marLeft w:val="547"/>
          <w:marRight w:val="0"/>
          <w:marTop w:val="0"/>
          <w:marBottom w:val="0"/>
          <w:divBdr>
            <w:top w:val="none" w:sz="0" w:space="0" w:color="auto"/>
            <w:left w:val="none" w:sz="0" w:space="0" w:color="auto"/>
            <w:bottom w:val="none" w:sz="0" w:space="0" w:color="auto"/>
            <w:right w:val="none" w:sz="0" w:space="0" w:color="auto"/>
          </w:divBdr>
        </w:div>
        <w:div w:id="1331907057">
          <w:marLeft w:val="547"/>
          <w:marRight w:val="0"/>
          <w:marTop w:val="0"/>
          <w:marBottom w:val="0"/>
          <w:divBdr>
            <w:top w:val="none" w:sz="0" w:space="0" w:color="auto"/>
            <w:left w:val="none" w:sz="0" w:space="0" w:color="auto"/>
            <w:bottom w:val="none" w:sz="0" w:space="0" w:color="auto"/>
            <w:right w:val="none" w:sz="0" w:space="0" w:color="auto"/>
          </w:divBdr>
        </w:div>
        <w:div w:id="1395280354">
          <w:marLeft w:val="547"/>
          <w:marRight w:val="0"/>
          <w:marTop w:val="0"/>
          <w:marBottom w:val="0"/>
          <w:divBdr>
            <w:top w:val="none" w:sz="0" w:space="0" w:color="auto"/>
            <w:left w:val="none" w:sz="0" w:space="0" w:color="auto"/>
            <w:bottom w:val="none" w:sz="0" w:space="0" w:color="auto"/>
            <w:right w:val="none" w:sz="0" w:space="0" w:color="auto"/>
          </w:divBdr>
        </w:div>
        <w:div w:id="61297858">
          <w:marLeft w:val="547"/>
          <w:marRight w:val="0"/>
          <w:marTop w:val="0"/>
          <w:marBottom w:val="0"/>
          <w:divBdr>
            <w:top w:val="none" w:sz="0" w:space="0" w:color="auto"/>
            <w:left w:val="none" w:sz="0" w:space="0" w:color="auto"/>
            <w:bottom w:val="none" w:sz="0" w:space="0" w:color="auto"/>
            <w:right w:val="none" w:sz="0" w:space="0" w:color="auto"/>
          </w:divBdr>
        </w:div>
        <w:div w:id="1249121725">
          <w:marLeft w:val="547"/>
          <w:marRight w:val="0"/>
          <w:marTop w:val="0"/>
          <w:marBottom w:val="0"/>
          <w:divBdr>
            <w:top w:val="none" w:sz="0" w:space="0" w:color="auto"/>
            <w:left w:val="none" w:sz="0" w:space="0" w:color="auto"/>
            <w:bottom w:val="none" w:sz="0" w:space="0" w:color="auto"/>
            <w:right w:val="none" w:sz="0" w:space="0" w:color="auto"/>
          </w:divBdr>
        </w:div>
        <w:div w:id="139083636">
          <w:marLeft w:val="547"/>
          <w:marRight w:val="0"/>
          <w:marTop w:val="0"/>
          <w:marBottom w:val="0"/>
          <w:divBdr>
            <w:top w:val="none" w:sz="0" w:space="0" w:color="auto"/>
            <w:left w:val="none" w:sz="0" w:space="0" w:color="auto"/>
            <w:bottom w:val="none" w:sz="0" w:space="0" w:color="auto"/>
            <w:right w:val="none" w:sz="0" w:space="0" w:color="auto"/>
          </w:divBdr>
        </w:div>
      </w:divsChild>
    </w:div>
    <w:div w:id="200346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eap.df.gob.mx/mecanism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27"/>
  <c:chart>
    <c:autoTitleDeleted val="1"/>
    <c:plotArea>
      <c:layout>
        <c:manualLayout>
          <c:layoutTarget val="inner"/>
          <c:xMode val="edge"/>
          <c:yMode val="edge"/>
          <c:x val="0.14745362542872326"/>
          <c:y val="3.3291891145185805E-2"/>
          <c:w val="0.75877559846212306"/>
          <c:h val="0.87430549799696089"/>
        </c:manualLayout>
      </c:layout>
      <c:barChart>
        <c:barDir val="bar"/>
        <c:grouping val="clustered"/>
        <c:ser>
          <c:idx val="0"/>
          <c:order val="0"/>
          <c:tx>
            <c:strRef>
              <c:f>Hoja1!$B$1</c:f>
              <c:strCache>
                <c:ptCount val="1"/>
                <c:pt idx="0">
                  <c:v>Programas</c:v>
                </c:pt>
              </c:strCache>
            </c:strRef>
          </c:tx>
          <c:spPr>
            <a:solidFill>
              <a:schemeClr val="accent5">
                <a:lumMod val="75000"/>
              </a:schemeClr>
            </a:solidFill>
          </c:spP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layout/>
                <c15:showLeaderLines val="0"/>
              </c:ext>
            </c:extLst>
          </c:dLbls>
          <c:cat>
            <c:strRef>
              <c:f>Hoja1!$A$2:$A$22</c:f>
              <c:strCache>
                <c:ptCount val="21"/>
                <c:pt idx="0">
                  <c:v>PCIVIL</c:v>
                </c:pt>
                <c:pt idx="1">
                  <c:v>SECITI</c:v>
                </c:pt>
                <c:pt idx="2">
                  <c:v>CEJUR</c:v>
                </c:pt>
                <c:pt idx="3">
                  <c:v>CGDF</c:v>
                </c:pt>
                <c:pt idx="4">
                  <c:v>IAPA</c:v>
                </c:pt>
                <c:pt idx="5">
                  <c:v>SEDUVI</c:v>
                </c:pt>
                <c:pt idx="6">
                  <c:v>STyFE</c:v>
                </c:pt>
                <c:pt idx="7">
                  <c:v>SEDU</c:v>
                </c:pt>
                <c:pt idx="8">
                  <c:v>IEMS</c:v>
                </c:pt>
                <c:pt idx="9">
                  <c:v>PGJDF</c:v>
                </c:pt>
                <c:pt idx="10">
                  <c:v>SEDEREC</c:v>
                </c:pt>
                <c:pt idx="11">
                  <c:v>SEDEMA</c:v>
                </c:pt>
                <c:pt idx="12">
                  <c:v>SSP</c:v>
                </c:pt>
                <c:pt idx="13">
                  <c:v>SECTUR</c:v>
                </c:pt>
                <c:pt idx="14">
                  <c:v>SEDESA</c:v>
                </c:pt>
                <c:pt idx="15">
                  <c:v>ILIFE</c:v>
                </c:pt>
                <c:pt idx="16">
                  <c:v>INJUVE</c:v>
                </c:pt>
                <c:pt idx="17">
                  <c:v>Cultura</c:v>
                </c:pt>
                <c:pt idx="18">
                  <c:v>FIDEGAR</c:v>
                </c:pt>
                <c:pt idx="19">
                  <c:v>SEDESO</c:v>
                </c:pt>
                <c:pt idx="20">
                  <c:v>DIF DF</c:v>
                </c:pt>
              </c:strCache>
            </c:strRef>
          </c:cat>
          <c:val>
            <c:numRef>
              <c:f>Hoja1!$B$2:$B$22</c:f>
              <c:numCache>
                <c:formatCode>General</c:formatCode>
                <c:ptCount val="21"/>
                <c:pt idx="7">
                  <c:v>1</c:v>
                </c:pt>
                <c:pt idx="8">
                  <c:v>1</c:v>
                </c:pt>
                <c:pt idx="9">
                  <c:v>1</c:v>
                </c:pt>
                <c:pt idx="10">
                  <c:v>1</c:v>
                </c:pt>
                <c:pt idx="11">
                  <c:v>1</c:v>
                </c:pt>
                <c:pt idx="12">
                  <c:v>1</c:v>
                </c:pt>
                <c:pt idx="13">
                  <c:v>1</c:v>
                </c:pt>
                <c:pt idx="14">
                  <c:v>2</c:v>
                </c:pt>
                <c:pt idx="15">
                  <c:v>2</c:v>
                </c:pt>
                <c:pt idx="16">
                  <c:v>2</c:v>
                </c:pt>
                <c:pt idx="17">
                  <c:v>2</c:v>
                </c:pt>
                <c:pt idx="18">
                  <c:v>2</c:v>
                </c:pt>
                <c:pt idx="19">
                  <c:v>3</c:v>
                </c:pt>
                <c:pt idx="20">
                  <c:v>8</c:v>
                </c:pt>
              </c:numCache>
            </c:numRef>
          </c:val>
        </c:ser>
        <c:dLbls>
          <c:showVal val="1"/>
        </c:dLbls>
        <c:gapWidth val="75"/>
        <c:axId val="82905728"/>
        <c:axId val="84594688"/>
      </c:barChart>
      <c:catAx>
        <c:axId val="82905728"/>
        <c:scaling>
          <c:orientation val="minMax"/>
        </c:scaling>
        <c:axPos val="l"/>
        <c:numFmt formatCode="General" sourceLinked="0"/>
        <c:majorTickMark val="none"/>
        <c:tickLblPos val="nextTo"/>
        <c:crossAx val="84594688"/>
        <c:crosses val="autoZero"/>
        <c:auto val="1"/>
        <c:lblAlgn val="ctr"/>
        <c:lblOffset val="100"/>
      </c:catAx>
      <c:valAx>
        <c:axId val="84594688"/>
        <c:scaling>
          <c:orientation val="minMax"/>
        </c:scaling>
        <c:delete val="1"/>
        <c:axPos val="b"/>
        <c:numFmt formatCode="General" sourceLinked="1"/>
        <c:majorTickMark val="none"/>
        <c:tickLblPos val="none"/>
        <c:crossAx val="82905728"/>
        <c:crosses val="autoZero"/>
        <c:crossBetween val="between"/>
      </c:valAx>
      <c:spPr>
        <a:solidFill>
          <a:schemeClr val="bg2">
            <a:lumMod val="90000"/>
          </a:schemeClr>
        </a:solidFill>
        <a:scene3d>
          <a:camera prst="orthographicFront"/>
          <a:lightRig rig="threePt" dir="t"/>
        </a:scene3d>
        <a:sp3d>
          <a:bevelT w="152400" h="50800" prst="softRound"/>
        </a:sp3d>
      </c:spPr>
    </c:plotArea>
    <c:legend>
      <c:legendPos val="b"/>
    </c:legend>
    <c:plotVisOnly val="1"/>
    <c:dispBlanksAs val="gap"/>
  </c:chart>
  <c:spPr>
    <a:solidFill>
      <a:schemeClr val="bg2">
        <a:lumMod val="75000"/>
      </a:schemeClr>
    </a:solidFill>
    <a:ln>
      <a:noFill/>
    </a:ln>
    <a:scene3d>
      <a:camera prst="orthographicFront"/>
      <a:lightRig rig="brightRoom" dir="t">
        <a:rot lat="0" lon="0" rev="600000"/>
      </a:lightRig>
    </a:scene3d>
    <a:sp3d prstMaterial="metal">
      <a:bevelT w="38100" h="57150" prst="riblet"/>
    </a:sp3d>
  </c:spPr>
  <c:txPr>
    <a:bodyPr/>
    <a:lstStyle/>
    <a:p>
      <a:pPr>
        <a:defRPr sz="600"/>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style val="27"/>
  <c:chart>
    <c:autoTitleDeleted val="1"/>
    <c:plotArea>
      <c:layout>
        <c:manualLayout>
          <c:layoutTarget val="inner"/>
          <c:xMode val="edge"/>
          <c:yMode val="edge"/>
          <c:x val="0.14745362542872326"/>
          <c:y val="3.2594601171542302E-2"/>
          <c:w val="0.7587755984621235"/>
          <c:h val="0.87535102814134991"/>
        </c:manualLayout>
      </c:layout>
      <c:barChart>
        <c:barDir val="bar"/>
        <c:grouping val="clustered"/>
        <c:ser>
          <c:idx val="0"/>
          <c:order val="0"/>
          <c:tx>
            <c:strRef>
              <c:f>Hoja1!$B$1</c:f>
              <c:strCache>
                <c:ptCount val="1"/>
                <c:pt idx="0">
                  <c:v>Acciones</c:v>
                </c:pt>
              </c:strCache>
            </c:strRef>
          </c:tx>
          <c:spPr>
            <a:solidFill>
              <a:schemeClr val="accent5">
                <a:lumMod val="75000"/>
              </a:schemeClr>
            </a:solidFill>
          </c:spPr>
          <c:dLbls>
            <c:dLbl>
              <c:idx val="4"/>
              <c:layout>
                <c:manualLayout>
                  <c:x val="3.4074074074074659E-5"/>
                  <c:y val="4.7021605742990739E-3"/>
                </c:manualLayout>
              </c:layout>
              <c:showVal val="1"/>
              <c:extLst>
                <c:ext xmlns:c15="http://schemas.microsoft.com/office/drawing/2012/chart" uri="{CE6537A1-D6FC-4f65-9D91-7224C49458BB}"/>
              </c:extLst>
            </c:dLbl>
            <c:spPr>
              <a:noFill/>
              <a:ln>
                <a:noFill/>
              </a:ln>
              <a:effectLst/>
            </c:spPr>
            <c:txPr>
              <a:bodyPr/>
              <a:lstStyle/>
              <a:p>
                <a:pPr>
                  <a:defRPr b="1"/>
                </a:pPr>
                <a:endParaRPr lang="es-MX"/>
              </a:p>
            </c:txPr>
            <c:showVal val="1"/>
            <c:extLst>
              <c:ext xmlns:c15="http://schemas.microsoft.com/office/drawing/2012/chart" uri="{CE6537A1-D6FC-4f65-9D91-7224C49458BB}">
                <c15:showLeaderLines val="0"/>
              </c:ext>
            </c:extLst>
          </c:dLbls>
          <c:cat>
            <c:strRef>
              <c:f>Hoja1!$A$2:$A$22</c:f>
              <c:strCache>
                <c:ptCount val="21"/>
                <c:pt idx="0">
                  <c:v>IEMS</c:v>
                </c:pt>
                <c:pt idx="1">
                  <c:v>SEDEREC</c:v>
                </c:pt>
                <c:pt idx="2">
                  <c:v>PCIVIL</c:v>
                </c:pt>
                <c:pt idx="3">
                  <c:v>SECITI</c:v>
                </c:pt>
                <c:pt idx="4">
                  <c:v>CEJUR</c:v>
                </c:pt>
                <c:pt idx="5">
                  <c:v>CGDF</c:v>
                </c:pt>
                <c:pt idx="6">
                  <c:v>IAPA</c:v>
                </c:pt>
                <c:pt idx="7">
                  <c:v>SSP</c:v>
                </c:pt>
                <c:pt idx="8">
                  <c:v>SECTUR</c:v>
                </c:pt>
                <c:pt idx="9">
                  <c:v>SEDUVI</c:v>
                </c:pt>
                <c:pt idx="10">
                  <c:v>ILIFE</c:v>
                </c:pt>
                <c:pt idx="11">
                  <c:v>PGJDF</c:v>
                </c:pt>
                <c:pt idx="12">
                  <c:v>SEDEMA</c:v>
                </c:pt>
                <c:pt idx="13">
                  <c:v>STyFE</c:v>
                </c:pt>
                <c:pt idx="14">
                  <c:v>Cultura</c:v>
                </c:pt>
                <c:pt idx="15">
                  <c:v>SEDESO</c:v>
                </c:pt>
                <c:pt idx="16">
                  <c:v>SEDU</c:v>
                </c:pt>
                <c:pt idx="17">
                  <c:v>FIDEGAR</c:v>
                </c:pt>
                <c:pt idx="18">
                  <c:v>INJUVE</c:v>
                </c:pt>
                <c:pt idx="19">
                  <c:v>SEDESA</c:v>
                </c:pt>
                <c:pt idx="20">
                  <c:v>DIF DF</c:v>
                </c:pt>
              </c:strCache>
            </c:strRef>
          </c:cat>
          <c:val>
            <c:numRef>
              <c:f>Hoja1!$B$2:$B$22</c:f>
              <c:numCache>
                <c:formatCode>General</c:formatCode>
                <c:ptCount val="21"/>
                <c:pt idx="0">
                  <c:v>1</c:v>
                </c:pt>
                <c:pt idx="1">
                  <c:v>1</c:v>
                </c:pt>
                <c:pt idx="2">
                  <c:v>1</c:v>
                </c:pt>
                <c:pt idx="3">
                  <c:v>1</c:v>
                </c:pt>
                <c:pt idx="4">
                  <c:v>1</c:v>
                </c:pt>
                <c:pt idx="5">
                  <c:v>1</c:v>
                </c:pt>
                <c:pt idx="6">
                  <c:v>1</c:v>
                </c:pt>
                <c:pt idx="7">
                  <c:v>1</c:v>
                </c:pt>
                <c:pt idx="8">
                  <c:v>1</c:v>
                </c:pt>
                <c:pt idx="9">
                  <c:v>1</c:v>
                </c:pt>
                <c:pt idx="10">
                  <c:v>2</c:v>
                </c:pt>
                <c:pt idx="11">
                  <c:v>2</c:v>
                </c:pt>
                <c:pt idx="12">
                  <c:v>2</c:v>
                </c:pt>
                <c:pt idx="13">
                  <c:v>2</c:v>
                </c:pt>
                <c:pt idx="14">
                  <c:v>2</c:v>
                </c:pt>
                <c:pt idx="15">
                  <c:v>3</c:v>
                </c:pt>
                <c:pt idx="16">
                  <c:v>4</c:v>
                </c:pt>
                <c:pt idx="17">
                  <c:v>4</c:v>
                </c:pt>
                <c:pt idx="18">
                  <c:v>4</c:v>
                </c:pt>
                <c:pt idx="19">
                  <c:v>13</c:v>
                </c:pt>
                <c:pt idx="20">
                  <c:v>22</c:v>
                </c:pt>
              </c:numCache>
            </c:numRef>
          </c:val>
        </c:ser>
        <c:dLbls>
          <c:showVal val="1"/>
        </c:dLbls>
        <c:gapWidth val="75"/>
        <c:axId val="84884864"/>
        <c:axId val="84870272"/>
      </c:barChart>
      <c:catAx>
        <c:axId val="84884864"/>
        <c:scaling>
          <c:orientation val="minMax"/>
        </c:scaling>
        <c:axPos val="l"/>
        <c:numFmt formatCode="General" sourceLinked="0"/>
        <c:majorTickMark val="none"/>
        <c:tickLblPos val="nextTo"/>
        <c:crossAx val="84870272"/>
        <c:crosses val="autoZero"/>
        <c:auto val="1"/>
        <c:lblAlgn val="ctr"/>
        <c:lblOffset val="100"/>
      </c:catAx>
      <c:valAx>
        <c:axId val="84870272"/>
        <c:scaling>
          <c:orientation val="minMax"/>
        </c:scaling>
        <c:delete val="1"/>
        <c:axPos val="b"/>
        <c:numFmt formatCode="General" sourceLinked="1"/>
        <c:majorTickMark val="none"/>
        <c:tickLblPos val="none"/>
        <c:crossAx val="84884864"/>
        <c:crosses val="autoZero"/>
        <c:crossBetween val="between"/>
      </c:valAx>
      <c:spPr>
        <a:solidFill>
          <a:schemeClr val="bg2">
            <a:lumMod val="90000"/>
          </a:schemeClr>
        </a:solidFill>
        <a:scene3d>
          <a:camera prst="orthographicFront"/>
          <a:lightRig rig="threePt" dir="t"/>
        </a:scene3d>
        <a:sp3d>
          <a:bevelT w="152400" h="50800" prst="softRound"/>
        </a:sp3d>
      </c:spPr>
    </c:plotArea>
    <c:legend>
      <c:legendPos val="b"/>
      <c:txPr>
        <a:bodyPr/>
        <a:lstStyle/>
        <a:p>
          <a:pPr>
            <a:defRPr b="1"/>
          </a:pPr>
          <a:endParaRPr lang="es-MX"/>
        </a:p>
      </c:txPr>
    </c:legend>
    <c:plotVisOnly val="1"/>
    <c:dispBlanksAs val="gap"/>
  </c:chart>
  <c:spPr>
    <a:solidFill>
      <a:schemeClr val="bg2">
        <a:lumMod val="75000"/>
      </a:schemeClr>
    </a:solidFill>
    <a:ln>
      <a:noFill/>
    </a:ln>
    <a:scene3d>
      <a:camera prst="orthographicFront"/>
      <a:lightRig rig="brightRoom" dir="t">
        <a:rot lat="0" lon="0" rev="600000"/>
      </a:lightRig>
    </a:scene3d>
    <a:sp3d prstMaterial="metal">
      <a:bevelT w="38100" h="57150" prst="riblet"/>
    </a:sp3d>
  </c:spPr>
  <c:txPr>
    <a:bodyPr/>
    <a:lstStyle/>
    <a:p>
      <a:pPr>
        <a:defRPr sz="600"/>
      </a:pPr>
      <a:endParaRPr lang="es-MX"/>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E5F4B-E5DF-4DE3-831A-509A98B978EE}" type="doc">
      <dgm:prSet loTypeId="urn:microsoft.com/office/officeart/2005/8/layout/hProcess4" loCatId="process" qsTypeId="urn:microsoft.com/office/officeart/2005/8/quickstyle/3d2" qsCatId="3D" csTypeId="urn:microsoft.com/office/officeart/2005/8/colors/accent2_2" csCatId="accent2" phldr="1"/>
      <dgm:spPr/>
      <dgm:t>
        <a:bodyPr/>
        <a:lstStyle/>
        <a:p>
          <a:endParaRPr lang="es-MX"/>
        </a:p>
      </dgm:t>
    </dgm:pt>
    <dgm:pt modelId="{DF773012-7570-48A9-96CF-5DA7DCEF5299}">
      <dgm:prSet phldrT="[Texto]"/>
      <dgm:spPr/>
      <dgm:t>
        <a:bodyPr/>
        <a:lstStyle/>
        <a:p>
          <a:pPr algn="ctr"/>
          <a:r>
            <a:rPr lang="es-MX" dirty="0" smtClean="0"/>
            <a:t>2</a:t>
          </a:r>
          <a:endParaRPr lang="es-MX" dirty="0"/>
        </a:p>
      </dgm:t>
    </dgm:pt>
    <dgm:pt modelId="{E930AA8F-8C0C-43DB-8D61-125E64257AE4}" type="parTrans" cxnId="{D11111E6-73E3-4A79-A8ED-E41928325251}">
      <dgm:prSet/>
      <dgm:spPr/>
      <dgm:t>
        <a:bodyPr/>
        <a:lstStyle/>
        <a:p>
          <a:pPr algn="ctr"/>
          <a:endParaRPr lang="es-MX"/>
        </a:p>
      </dgm:t>
    </dgm:pt>
    <dgm:pt modelId="{D019A284-01E8-4DB7-86FC-8B72240DC400}" type="sibTrans" cxnId="{D11111E6-73E3-4A79-A8ED-E41928325251}">
      <dgm:prSet/>
      <dgm:spPr/>
      <dgm:t>
        <a:bodyPr/>
        <a:lstStyle/>
        <a:p>
          <a:pPr algn="ctr"/>
          <a:endParaRPr lang="es-MX"/>
        </a:p>
      </dgm:t>
    </dgm:pt>
    <dgm:pt modelId="{1CA541E3-24CF-4E65-AD8F-5F3BE014916F}">
      <dgm:prSet phldrT="[Texto]"/>
      <dgm:spPr/>
      <dgm:t>
        <a:bodyPr/>
        <a:lstStyle/>
        <a:p>
          <a:pPr algn="ctr"/>
          <a:r>
            <a:rPr lang="es-MX" dirty="0" smtClean="0"/>
            <a:t>Disposiciones para la generación, recopilación y procesamiento de la información</a:t>
          </a:r>
          <a:endParaRPr lang="es-MX" dirty="0"/>
        </a:p>
      </dgm:t>
    </dgm:pt>
    <dgm:pt modelId="{00C8C512-9DB2-477D-9A45-3670AAE2B7E8}" type="parTrans" cxnId="{9C46BBCF-3193-44B3-8CDB-71930350E72E}">
      <dgm:prSet/>
      <dgm:spPr/>
      <dgm:t>
        <a:bodyPr/>
        <a:lstStyle/>
        <a:p>
          <a:pPr algn="ctr"/>
          <a:endParaRPr lang="es-MX"/>
        </a:p>
      </dgm:t>
    </dgm:pt>
    <dgm:pt modelId="{AF5FE423-431B-4133-BF9D-315FEE59EFED}" type="sibTrans" cxnId="{9C46BBCF-3193-44B3-8CDB-71930350E72E}">
      <dgm:prSet/>
      <dgm:spPr/>
      <dgm:t>
        <a:bodyPr/>
        <a:lstStyle/>
        <a:p>
          <a:pPr algn="ctr"/>
          <a:endParaRPr lang="es-MX"/>
        </a:p>
      </dgm:t>
    </dgm:pt>
    <dgm:pt modelId="{218C7ED2-E913-42C9-8668-739EC57B8D22}">
      <dgm:prSet phldrT="[Texto]"/>
      <dgm:spPr/>
      <dgm:t>
        <a:bodyPr/>
        <a:lstStyle/>
        <a:p>
          <a:pPr algn="ctr"/>
          <a:r>
            <a:rPr lang="es-MX" dirty="0" smtClean="0"/>
            <a:t>3</a:t>
          </a:r>
          <a:endParaRPr lang="es-MX" dirty="0"/>
        </a:p>
      </dgm:t>
    </dgm:pt>
    <dgm:pt modelId="{D2D6B914-70BF-4565-816A-286CC6458F19}" type="parTrans" cxnId="{B66201BA-5477-45CD-A53D-91C332DC7F11}">
      <dgm:prSet/>
      <dgm:spPr/>
      <dgm:t>
        <a:bodyPr/>
        <a:lstStyle/>
        <a:p>
          <a:pPr algn="ctr"/>
          <a:endParaRPr lang="es-MX"/>
        </a:p>
      </dgm:t>
    </dgm:pt>
    <dgm:pt modelId="{A97CBD0C-876A-43F3-B3A2-C1B112CAB5F2}" type="sibTrans" cxnId="{B66201BA-5477-45CD-A53D-91C332DC7F11}">
      <dgm:prSet/>
      <dgm:spPr/>
      <dgm:t>
        <a:bodyPr/>
        <a:lstStyle/>
        <a:p>
          <a:pPr algn="ctr"/>
          <a:endParaRPr lang="es-MX"/>
        </a:p>
      </dgm:t>
    </dgm:pt>
    <dgm:pt modelId="{C31B8C7E-FCB1-42CB-A5FB-0D0FCD4DD248}">
      <dgm:prSet phldrT="[Texto]"/>
      <dgm:spPr/>
      <dgm:t>
        <a:bodyPr/>
        <a:lstStyle/>
        <a:p>
          <a:pPr algn="ctr"/>
          <a:r>
            <a:rPr lang="es-ES" dirty="0" smtClean="0"/>
            <a:t>Periodicidad para la entrega y reporte de la información</a:t>
          </a:r>
          <a:endParaRPr lang="es-MX" dirty="0"/>
        </a:p>
      </dgm:t>
    </dgm:pt>
    <dgm:pt modelId="{2EEFFE87-58A2-405C-A394-29E24882B92E}" type="parTrans" cxnId="{F730B906-AC9F-4855-A827-EE61ACB77909}">
      <dgm:prSet/>
      <dgm:spPr/>
      <dgm:t>
        <a:bodyPr/>
        <a:lstStyle/>
        <a:p>
          <a:pPr algn="ctr"/>
          <a:endParaRPr lang="es-MX"/>
        </a:p>
      </dgm:t>
    </dgm:pt>
    <dgm:pt modelId="{5DAA511E-9A64-45DF-8B8D-9C7CD634A453}" type="sibTrans" cxnId="{F730B906-AC9F-4855-A827-EE61ACB77909}">
      <dgm:prSet/>
      <dgm:spPr/>
      <dgm:t>
        <a:bodyPr/>
        <a:lstStyle/>
        <a:p>
          <a:pPr algn="ctr"/>
          <a:endParaRPr lang="es-MX"/>
        </a:p>
      </dgm:t>
    </dgm:pt>
    <dgm:pt modelId="{60D61D8D-6472-49C1-8003-210EFCE9437F}">
      <dgm:prSet phldrT="[Texto]"/>
      <dgm:spPr/>
      <dgm:t>
        <a:bodyPr/>
        <a:lstStyle/>
        <a:p>
          <a:pPr algn="ctr"/>
          <a:r>
            <a:rPr lang="es-MX" dirty="0" smtClean="0"/>
            <a:t>1</a:t>
          </a:r>
          <a:endParaRPr lang="es-MX" dirty="0"/>
        </a:p>
      </dgm:t>
    </dgm:pt>
    <dgm:pt modelId="{00393C00-7F2C-43D2-9FBC-97961B53076E}" type="sibTrans" cxnId="{D8C99BB3-EDBA-40C7-8145-85F0AC55C981}">
      <dgm:prSet/>
      <dgm:spPr/>
      <dgm:t>
        <a:bodyPr/>
        <a:lstStyle/>
        <a:p>
          <a:pPr algn="ctr"/>
          <a:endParaRPr lang="es-MX"/>
        </a:p>
      </dgm:t>
    </dgm:pt>
    <dgm:pt modelId="{F9D514F3-CA0C-4AA3-BD8B-7466B15181AB}" type="parTrans" cxnId="{D8C99BB3-EDBA-40C7-8145-85F0AC55C981}">
      <dgm:prSet/>
      <dgm:spPr/>
      <dgm:t>
        <a:bodyPr/>
        <a:lstStyle/>
        <a:p>
          <a:pPr algn="ctr"/>
          <a:endParaRPr lang="es-MX"/>
        </a:p>
      </dgm:t>
    </dgm:pt>
    <dgm:pt modelId="{230A38D7-6D7F-4405-A3DF-64953B084133}">
      <dgm:prSet/>
      <dgm:spPr/>
      <dgm:t>
        <a:bodyPr/>
        <a:lstStyle/>
        <a:p>
          <a:pPr algn="ctr"/>
          <a:r>
            <a:rPr lang="es-MX" dirty="0" smtClean="0"/>
            <a:t>Criterios para la determinación los programas y/o acciones</a:t>
          </a:r>
          <a:endParaRPr lang="es-MX" dirty="0"/>
        </a:p>
      </dgm:t>
    </dgm:pt>
    <dgm:pt modelId="{4314E68B-AB29-4C4B-B157-D413324ABECD}" type="parTrans" cxnId="{51A0C646-7F01-4D34-97A7-04AC68F51919}">
      <dgm:prSet/>
      <dgm:spPr/>
      <dgm:t>
        <a:bodyPr/>
        <a:lstStyle/>
        <a:p>
          <a:pPr algn="ctr"/>
          <a:endParaRPr lang="es-MX"/>
        </a:p>
      </dgm:t>
    </dgm:pt>
    <dgm:pt modelId="{D3C1680B-0471-4319-BA17-9E12A47EB252}" type="sibTrans" cxnId="{51A0C646-7F01-4D34-97A7-04AC68F51919}">
      <dgm:prSet/>
      <dgm:spPr/>
      <dgm:t>
        <a:bodyPr/>
        <a:lstStyle/>
        <a:p>
          <a:pPr algn="ctr"/>
          <a:endParaRPr lang="es-MX"/>
        </a:p>
      </dgm:t>
    </dgm:pt>
    <dgm:pt modelId="{0820837F-459B-4A1C-9D8B-1919749EA215}" type="pres">
      <dgm:prSet presAssocID="{A50E5F4B-E5DF-4DE3-831A-509A98B978EE}" presName="Name0" presStyleCnt="0">
        <dgm:presLayoutVars>
          <dgm:dir/>
          <dgm:animLvl val="lvl"/>
          <dgm:resizeHandles val="exact"/>
        </dgm:presLayoutVars>
      </dgm:prSet>
      <dgm:spPr/>
      <dgm:t>
        <a:bodyPr/>
        <a:lstStyle/>
        <a:p>
          <a:endParaRPr lang="es-MX"/>
        </a:p>
      </dgm:t>
    </dgm:pt>
    <dgm:pt modelId="{0E897211-0A93-4E81-9A78-83118952BA51}" type="pres">
      <dgm:prSet presAssocID="{A50E5F4B-E5DF-4DE3-831A-509A98B978EE}" presName="tSp" presStyleCnt="0"/>
      <dgm:spPr/>
    </dgm:pt>
    <dgm:pt modelId="{8147F5C7-71A6-4DE0-AA4B-EA7A794C009F}" type="pres">
      <dgm:prSet presAssocID="{A50E5F4B-E5DF-4DE3-831A-509A98B978EE}" presName="bSp" presStyleCnt="0"/>
      <dgm:spPr/>
    </dgm:pt>
    <dgm:pt modelId="{5B636EF5-A748-4A31-BE9E-E5D4D1FF07A1}" type="pres">
      <dgm:prSet presAssocID="{A50E5F4B-E5DF-4DE3-831A-509A98B978EE}" presName="process" presStyleCnt="0"/>
      <dgm:spPr/>
    </dgm:pt>
    <dgm:pt modelId="{747BC91E-1DCB-4A79-932D-27C3EFEBCD0C}" type="pres">
      <dgm:prSet presAssocID="{60D61D8D-6472-49C1-8003-210EFCE9437F}" presName="composite1" presStyleCnt="0"/>
      <dgm:spPr/>
    </dgm:pt>
    <dgm:pt modelId="{D8C951FF-722B-4C93-B208-E8C7C1D10786}" type="pres">
      <dgm:prSet presAssocID="{60D61D8D-6472-49C1-8003-210EFCE9437F}" presName="dummyNode1" presStyleLbl="node1" presStyleIdx="0" presStyleCnt="3"/>
      <dgm:spPr/>
    </dgm:pt>
    <dgm:pt modelId="{D0AF98C1-C1F3-4E8F-9F4D-1FBFD7A8FE07}" type="pres">
      <dgm:prSet presAssocID="{60D61D8D-6472-49C1-8003-210EFCE9437F}" presName="childNode1" presStyleLbl="bgAcc1" presStyleIdx="0" presStyleCnt="3">
        <dgm:presLayoutVars>
          <dgm:bulletEnabled val="1"/>
        </dgm:presLayoutVars>
      </dgm:prSet>
      <dgm:spPr/>
      <dgm:t>
        <a:bodyPr/>
        <a:lstStyle/>
        <a:p>
          <a:endParaRPr lang="es-MX"/>
        </a:p>
      </dgm:t>
    </dgm:pt>
    <dgm:pt modelId="{DCD57138-53F7-4B97-8744-A8793C29626D}" type="pres">
      <dgm:prSet presAssocID="{60D61D8D-6472-49C1-8003-210EFCE9437F}" presName="childNode1tx" presStyleLbl="bgAcc1" presStyleIdx="0" presStyleCnt="3">
        <dgm:presLayoutVars>
          <dgm:bulletEnabled val="1"/>
        </dgm:presLayoutVars>
      </dgm:prSet>
      <dgm:spPr/>
      <dgm:t>
        <a:bodyPr/>
        <a:lstStyle/>
        <a:p>
          <a:endParaRPr lang="es-MX"/>
        </a:p>
      </dgm:t>
    </dgm:pt>
    <dgm:pt modelId="{999B81F7-4DB9-4466-8A97-CBC39F1AD773}" type="pres">
      <dgm:prSet presAssocID="{60D61D8D-6472-49C1-8003-210EFCE9437F}" presName="parentNode1" presStyleLbl="node1" presStyleIdx="0" presStyleCnt="3" custScaleX="40748">
        <dgm:presLayoutVars>
          <dgm:chMax val="1"/>
          <dgm:bulletEnabled val="1"/>
        </dgm:presLayoutVars>
      </dgm:prSet>
      <dgm:spPr>
        <a:prstGeom prst="ellipse">
          <a:avLst/>
        </a:prstGeom>
      </dgm:spPr>
      <dgm:t>
        <a:bodyPr/>
        <a:lstStyle/>
        <a:p>
          <a:endParaRPr lang="es-MX"/>
        </a:p>
      </dgm:t>
    </dgm:pt>
    <dgm:pt modelId="{56ABF174-EDE1-42D3-9CFA-E582380DB0BE}" type="pres">
      <dgm:prSet presAssocID="{60D61D8D-6472-49C1-8003-210EFCE9437F}" presName="connSite1" presStyleCnt="0"/>
      <dgm:spPr/>
    </dgm:pt>
    <dgm:pt modelId="{6699BAA6-D78D-482C-8A15-5B7C07CF1BAE}" type="pres">
      <dgm:prSet presAssocID="{00393C00-7F2C-43D2-9FBC-97961B53076E}" presName="Name9" presStyleLbl="sibTrans2D1" presStyleIdx="0" presStyleCnt="2"/>
      <dgm:spPr/>
      <dgm:t>
        <a:bodyPr/>
        <a:lstStyle/>
        <a:p>
          <a:endParaRPr lang="es-MX"/>
        </a:p>
      </dgm:t>
    </dgm:pt>
    <dgm:pt modelId="{A9A8194A-DE39-4986-8F2B-7EF6A7E2B79F}" type="pres">
      <dgm:prSet presAssocID="{DF773012-7570-48A9-96CF-5DA7DCEF5299}" presName="composite2" presStyleCnt="0"/>
      <dgm:spPr/>
    </dgm:pt>
    <dgm:pt modelId="{19F5DA2C-6362-4326-8B59-814FE07417F2}" type="pres">
      <dgm:prSet presAssocID="{DF773012-7570-48A9-96CF-5DA7DCEF5299}" presName="dummyNode2" presStyleLbl="node1" presStyleIdx="0" presStyleCnt="3"/>
      <dgm:spPr/>
    </dgm:pt>
    <dgm:pt modelId="{F3C7723E-2102-4B11-B3C0-B45A050A3DC5}" type="pres">
      <dgm:prSet presAssocID="{DF773012-7570-48A9-96CF-5DA7DCEF5299}" presName="childNode2" presStyleLbl="bgAcc1" presStyleIdx="1" presStyleCnt="3">
        <dgm:presLayoutVars>
          <dgm:bulletEnabled val="1"/>
        </dgm:presLayoutVars>
      </dgm:prSet>
      <dgm:spPr/>
      <dgm:t>
        <a:bodyPr/>
        <a:lstStyle/>
        <a:p>
          <a:endParaRPr lang="es-MX"/>
        </a:p>
      </dgm:t>
    </dgm:pt>
    <dgm:pt modelId="{AC06D17E-AF9E-4E09-90F1-E2107656F955}" type="pres">
      <dgm:prSet presAssocID="{DF773012-7570-48A9-96CF-5DA7DCEF5299}" presName="childNode2tx" presStyleLbl="bgAcc1" presStyleIdx="1" presStyleCnt="3">
        <dgm:presLayoutVars>
          <dgm:bulletEnabled val="1"/>
        </dgm:presLayoutVars>
      </dgm:prSet>
      <dgm:spPr/>
      <dgm:t>
        <a:bodyPr/>
        <a:lstStyle/>
        <a:p>
          <a:endParaRPr lang="es-MX"/>
        </a:p>
      </dgm:t>
    </dgm:pt>
    <dgm:pt modelId="{AD7B4F2F-7417-4730-B57C-DF576BA9F8FC}" type="pres">
      <dgm:prSet presAssocID="{DF773012-7570-48A9-96CF-5DA7DCEF5299}" presName="parentNode2" presStyleLbl="node1" presStyleIdx="1" presStyleCnt="3" custScaleX="43238">
        <dgm:presLayoutVars>
          <dgm:chMax val="0"/>
          <dgm:bulletEnabled val="1"/>
        </dgm:presLayoutVars>
      </dgm:prSet>
      <dgm:spPr>
        <a:prstGeom prst="ellipse">
          <a:avLst/>
        </a:prstGeom>
      </dgm:spPr>
      <dgm:t>
        <a:bodyPr/>
        <a:lstStyle/>
        <a:p>
          <a:endParaRPr lang="es-MX"/>
        </a:p>
      </dgm:t>
    </dgm:pt>
    <dgm:pt modelId="{F54B8074-D137-486A-BA61-35DACE8CA649}" type="pres">
      <dgm:prSet presAssocID="{DF773012-7570-48A9-96CF-5DA7DCEF5299}" presName="connSite2" presStyleCnt="0"/>
      <dgm:spPr/>
    </dgm:pt>
    <dgm:pt modelId="{82BB10BA-DFEB-45CC-9D7E-95E0CC628999}" type="pres">
      <dgm:prSet presAssocID="{D019A284-01E8-4DB7-86FC-8B72240DC400}" presName="Name18" presStyleLbl="sibTrans2D1" presStyleIdx="1" presStyleCnt="2"/>
      <dgm:spPr/>
      <dgm:t>
        <a:bodyPr/>
        <a:lstStyle/>
        <a:p>
          <a:endParaRPr lang="es-MX"/>
        </a:p>
      </dgm:t>
    </dgm:pt>
    <dgm:pt modelId="{E9439EA4-EADA-46BD-BC30-AD547EBE7975}" type="pres">
      <dgm:prSet presAssocID="{218C7ED2-E913-42C9-8668-739EC57B8D22}" presName="composite1" presStyleCnt="0"/>
      <dgm:spPr/>
    </dgm:pt>
    <dgm:pt modelId="{369AE549-9CD7-42CA-9499-F179873471DE}" type="pres">
      <dgm:prSet presAssocID="{218C7ED2-E913-42C9-8668-739EC57B8D22}" presName="dummyNode1" presStyleLbl="node1" presStyleIdx="1" presStyleCnt="3"/>
      <dgm:spPr/>
    </dgm:pt>
    <dgm:pt modelId="{50C698D7-647A-4B9D-BDC4-A1118A552193}" type="pres">
      <dgm:prSet presAssocID="{218C7ED2-E913-42C9-8668-739EC57B8D22}" presName="childNode1" presStyleLbl="bgAcc1" presStyleIdx="2" presStyleCnt="3">
        <dgm:presLayoutVars>
          <dgm:bulletEnabled val="1"/>
        </dgm:presLayoutVars>
      </dgm:prSet>
      <dgm:spPr/>
      <dgm:t>
        <a:bodyPr/>
        <a:lstStyle/>
        <a:p>
          <a:endParaRPr lang="es-MX"/>
        </a:p>
      </dgm:t>
    </dgm:pt>
    <dgm:pt modelId="{738AC32D-C946-4E74-BC22-7950303EB21A}" type="pres">
      <dgm:prSet presAssocID="{218C7ED2-E913-42C9-8668-739EC57B8D22}" presName="childNode1tx" presStyleLbl="bgAcc1" presStyleIdx="2" presStyleCnt="3">
        <dgm:presLayoutVars>
          <dgm:bulletEnabled val="1"/>
        </dgm:presLayoutVars>
      </dgm:prSet>
      <dgm:spPr/>
      <dgm:t>
        <a:bodyPr/>
        <a:lstStyle/>
        <a:p>
          <a:endParaRPr lang="es-MX"/>
        </a:p>
      </dgm:t>
    </dgm:pt>
    <dgm:pt modelId="{F9925D7F-8F16-4CAD-8C08-40850F33DE77}" type="pres">
      <dgm:prSet presAssocID="{218C7ED2-E913-42C9-8668-739EC57B8D22}" presName="parentNode1" presStyleLbl="node1" presStyleIdx="2" presStyleCnt="3" custScaleX="45728">
        <dgm:presLayoutVars>
          <dgm:chMax val="1"/>
          <dgm:bulletEnabled val="1"/>
        </dgm:presLayoutVars>
      </dgm:prSet>
      <dgm:spPr>
        <a:prstGeom prst="ellipse">
          <a:avLst/>
        </a:prstGeom>
      </dgm:spPr>
      <dgm:t>
        <a:bodyPr/>
        <a:lstStyle/>
        <a:p>
          <a:endParaRPr lang="es-MX"/>
        </a:p>
      </dgm:t>
    </dgm:pt>
    <dgm:pt modelId="{E3136099-93CE-408E-9E9B-E15642F268D1}" type="pres">
      <dgm:prSet presAssocID="{218C7ED2-E913-42C9-8668-739EC57B8D22}" presName="connSite1" presStyleCnt="0"/>
      <dgm:spPr/>
    </dgm:pt>
  </dgm:ptLst>
  <dgm:cxnLst>
    <dgm:cxn modelId="{9C46BBCF-3193-44B3-8CDB-71930350E72E}" srcId="{DF773012-7570-48A9-96CF-5DA7DCEF5299}" destId="{1CA541E3-24CF-4E65-AD8F-5F3BE014916F}" srcOrd="0" destOrd="0" parTransId="{00C8C512-9DB2-477D-9A45-3670AAE2B7E8}" sibTransId="{AF5FE423-431B-4133-BF9D-315FEE59EFED}"/>
    <dgm:cxn modelId="{C97EFD6E-567A-4387-80BE-73F5645D09BB}" type="presOf" srcId="{230A38D7-6D7F-4405-A3DF-64953B084133}" destId="{D0AF98C1-C1F3-4E8F-9F4D-1FBFD7A8FE07}" srcOrd="0" destOrd="0" presId="urn:microsoft.com/office/officeart/2005/8/layout/hProcess4"/>
    <dgm:cxn modelId="{51A0C646-7F01-4D34-97A7-04AC68F51919}" srcId="{60D61D8D-6472-49C1-8003-210EFCE9437F}" destId="{230A38D7-6D7F-4405-A3DF-64953B084133}" srcOrd="0" destOrd="0" parTransId="{4314E68B-AB29-4C4B-B157-D413324ABECD}" sibTransId="{D3C1680B-0471-4319-BA17-9E12A47EB252}"/>
    <dgm:cxn modelId="{AE0827CB-46F3-41DE-9B27-33DBE14FC3E9}" type="presOf" srcId="{DF773012-7570-48A9-96CF-5DA7DCEF5299}" destId="{AD7B4F2F-7417-4730-B57C-DF576BA9F8FC}" srcOrd="0" destOrd="0" presId="urn:microsoft.com/office/officeart/2005/8/layout/hProcess4"/>
    <dgm:cxn modelId="{9D9520C1-8F5E-4CD8-B29D-2990D4D5EFE5}" type="presOf" srcId="{A50E5F4B-E5DF-4DE3-831A-509A98B978EE}" destId="{0820837F-459B-4A1C-9D8B-1919749EA215}" srcOrd="0" destOrd="0" presId="urn:microsoft.com/office/officeart/2005/8/layout/hProcess4"/>
    <dgm:cxn modelId="{D8C99BB3-EDBA-40C7-8145-85F0AC55C981}" srcId="{A50E5F4B-E5DF-4DE3-831A-509A98B978EE}" destId="{60D61D8D-6472-49C1-8003-210EFCE9437F}" srcOrd="0" destOrd="0" parTransId="{F9D514F3-CA0C-4AA3-BD8B-7466B15181AB}" sibTransId="{00393C00-7F2C-43D2-9FBC-97961B53076E}"/>
    <dgm:cxn modelId="{23DF3A48-5739-4D59-A589-3BCD32DAC066}" type="presOf" srcId="{218C7ED2-E913-42C9-8668-739EC57B8D22}" destId="{F9925D7F-8F16-4CAD-8C08-40850F33DE77}" srcOrd="0" destOrd="0" presId="urn:microsoft.com/office/officeart/2005/8/layout/hProcess4"/>
    <dgm:cxn modelId="{CD98914E-E8DF-4B38-A0ED-3A46E140261E}" type="presOf" srcId="{C31B8C7E-FCB1-42CB-A5FB-0D0FCD4DD248}" destId="{738AC32D-C946-4E74-BC22-7950303EB21A}" srcOrd="1" destOrd="0" presId="urn:microsoft.com/office/officeart/2005/8/layout/hProcess4"/>
    <dgm:cxn modelId="{479A8C76-3B77-4B9F-ADAC-9BDF95F51642}" type="presOf" srcId="{00393C00-7F2C-43D2-9FBC-97961B53076E}" destId="{6699BAA6-D78D-482C-8A15-5B7C07CF1BAE}" srcOrd="0" destOrd="0" presId="urn:microsoft.com/office/officeart/2005/8/layout/hProcess4"/>
    <dgm:cxn modelId="{2ABB2819-AF7D-4D41-880C-9226E8C4532E}" type="presOf" srcId="{1CA541E3-24CF-4E65-AD8F-5F3BE014916F}" destId="{F3C7723E-2102-4B11-B3C0-B45A050A3DC5}" srcOrd="0" destOrd="0" presId="urn:microsoft.com/office/officeart/2005/8/layout/hProcess4"/>
    <dgm:cxn modelId="{5D065718-278E-4543-AEA4-94344D062AA7}" type="presOf" srcId="{60D61D8D-6472-49C1-8003-210EFCE9437F}" destId="{999B81F7-4DB9-4466-8A97-CBC39F1AD773}" srcOrd="0" destOrd="0" presId="urn:microsoft.com/office/officeart/2005/8/layout/hProcess4"/>
    <dgm:cxn modelId="{F730B906-AC9F-4855-A827-EE61ACB77909}" srcId="{218C7ED2-E913-42C9-8668-739EC57B8D22}" destId="{C31B8C7E-FCB1-42CB-A5FB-0D0FCD4DD248}" srcOrd="0" destOrd="0" parTransId="{2EEFFE87-58A2-405C-A394-29E24882B92E}" sibTransId="{5DAA511E-9A64-45DF-8B8D-9C7CD634A453}"/>
    <dgm:cxn modelId="{F5EA4015-BC14-4FF4-B490-EFB9FCCE235B}" type="presOf" srcId="{1CA541E3-24CF-4E65-AD8F-5F3BE014916F}" destId="{AC06D17E-AF9E-4E09-90F1-E2107656F955}" srcOrd="1" destOrd="0" presId="urn:microsoft.com/office/officeart/2005/8/layout/hProcess4"/>
    <dgm:cxn modelId="{B66201BA-5477-45CD-A53D-91C332DC7F11}" srcId="{A50E5F4B-E5DF-4DE3-831A-509A98B978EE}" destId="{218C7ED2-E913-42C9-8668-739EC57B8D22}" srcOrd="2" destOrd="0" parTransId="{D2D6B914-70BF-4565-816A-286CC6458F19}" sibTransId="{A97CBD0C-876A-43F3-B3A2-C1B112CAB5F2}"/>
    <dgm:cxn modelId="{3D1E85BF-9378-4BFE-91DB-1CA559B6645A}" type="presOf" srcId="{C31B8C7E-FCB1-42CB-A5FB-0D0FCD4DD248}" destId="{50C698D7-647A-4B9D-BDC4-A1118A552193}" srcOrd="0" destOrd="0" presId="urn:microsoft.com/office/officeart/2005/8/layout/hProcess4"/>
    <dgm:cxn modelId="{D11111E6-73E3-4A79-A8ED-E41928325251}" srcId="{A50E5F4B-E5DF-4DE3-831A-509A98B978EE}" destId="{DF773012-7570-48A9-96CF-5DA7DCEF5299}" srcOrd="1" destOrd="0" parTransId="{E930AA8F-8C0C-43DB-8D61-125E64257AE4}" sibTransId="{D019A284-01E8-4DB7-86FC-8B72240DC400}"/>
    <dgm:cxn modelId="{3E2BD903-CDBD-4D6C-8CAC-78C2C540ED4B}" type="presOf" srcId="{230A38D7-6D7F-4405-A3DF-64953B084133}" destId="{DCD57138-53F7-4B97-8744-A8793C29626D}" srcOrd="1" destOrd="0" presId="urn:microsoft.com/office/officeart/2005/8/layout/hProcess4"/>
    <dgm:cxn modelId="{1AC842BE-14C6-40C9-93C0-4F0C418DB26E}" type="presOf" srcId="{D019A284-01E8-4DB7-86FC-8B72240DC400}" destId="{82BB10BA-DFEB-45CC-9D7E-95E0CC628999}" srcOrd="0" destOrd="0" presId="urn:microsoft.com/office/officeart/2005/8/layout/hProcess4"/>
    <dgm:cxn modelId="{760CA98A-D626-4310-89B2-BA7926A546DD}" type="presParOf" srcId="{0820837F-459B-4A1C-9D8B-1919749EA215}" destId="{0E897211-0A93-4E81-9A78-83118952BA51}" srcOrd="0" destOrd="0" presId="urn:microsoft.com/office/officeart/2005/8/layout/hProcess4"/>
    <dgm:cxn modelId="{18D03156-2B56-4B40-B5DC-1CACB3A5D0C9}" type="presParOf" srcId="{0820837F-459B-4A1C-9D8B-1919749EA215}" destId="{8147F5C7-71A6-4DE0-AA4B-EA7A794C009F}" srcOrd="1" destOrd="0" presId="urn:microsoft.com/office/officeart/2005/8/layout/hProcess4"/>
    <dgm:cxn modelId="{C15239B6-1DF0-4FCE-A66B-1AC235287E68}" type="presParOf" srcId="{0820837F-459B-4A1C-9D8B-1919749EA215}" destId="{5B636EF5-A748-4A31-BE9E-E5D4D1FF07A1}" srcOrd="2" destOrd="0" presId="urn:microsoft.com/office/officeart/2005/8/layout/hProcess4"/>
    <dgm:cxn modelId="{496DC3BE-68EB-4411-8186-21B3ED16B09A}" type="presParOf" srcId="{5B636EF5-A748-4A31-BE9E-E5D4D1FF07A1}" destId="{747BC91E-1DCB-4A79-932D-27C3EFEBCD0C}" srcOrd="0" destOrd="0" presId="urn:microsoft.com/office/officeart/2005/8/layout/hProcess4"/>
    <dgm:cxn modelId="{10EB1F3E-A0BE-4FC3-ABCE-7E9347547EDC}" type="presParOf" srcId="{747BC91E-1DCB-4A79-932D-27C3EFEBCD0C}" destId="{D8C951FF-722B-4C93-B208-E8C7C1D10786}" srcOrd="0" destOrd="0" presId="urn:microsoft.com/office/officeart/2005/8/layout/hProcess4"/>
    <dgm:cxn modelId="{C2EB9DEF-2B45-4341-96CE-CA59E0DF5580}" type="presParOf" srcId="{747BC91E-1DCB-4A79-932D-27C3EFEBCD0C}" destId="{D0AF98C1-C1F3-4E8F-9F4D-1FBFD7A8FE07}" srcOrd="1" destOrd="0" presId="urn:microsoft.com/office/officeart/2005/8/layout/hProcess4"/>
    <dgm:cxn modelId="{F1C0CC27-15AD-4632-8E0E-104FEF226B60}" type="presParOf" srcId="{747BC91E-1DCB-4A79-932D-27C3EFEBCD0C}" destId="{DCD57138-53F7-4B97-8744-A8793C29626D}" srcOrd="2" destOrd="0" presId="urn:microsoft.com/office/officeart/2005/8/layout/hProcess4"/>
    <dgm:cxn modelId="{BD9927E8-95BE-4E6B-B26B-D12397D4CEAA}" type="presParOf" srcId="{747BC91E-1DCB-4A79-932D-27C3EFEBCD0C}" destId="{999B81F7-4DB9-4466-8A97-CBC39F1AD773}" srcOrd="3" destOrd="0" presId="urn:microsoft.com/office/officeart/2005/8/layout/hProcess4"/>
    <dgm:cxn modelId="{FB9121A1-23A2-460B-871F-E5BBFC3ADD3F}" type="presParOf" srcId="{747BC91E-1DCB-4A79-932D-27C3EFEBCD0C}" destId="{56ABF174-EDE1-42D3-9CFA-E582380DB0BE}" srcOrd="4" destOrd="0" presId="urn:microsoft.com/office/officeart/2005/8/layout/hProcess4"/>
    <dgm:cxn modelId="{AEEE5C29-A089-48D4-9CF7-F3C7565F247E}" type="presParOf" srcId="{5B636EF5-A748-4A31-BE9E-E5D4D1FF07A1}" destId="{6699BAA6-D78D-482C-8A15-5B7C07CF1BAE}" srcOrd="1" destOrd="0" presId="urn:microsoft.com/office/officeart/2005/8/layout/hProcess4"/>
    <dgm:cxn modelId="{EA25564B-40B5-4B5F-B858-F072511E5F4B}" type="presParOf" srcId="{5B636EF5-A748-4A31-BE9E-E5D4D1FF07A1}" destId="{A9A8194A-DE39-4986-8F2B-7EF6A7E2B79F}" srcOrd="2" destOrd="0" presId="urn:microsoft.com/office/officeart/2005/8/layout/hProcess4"/>
    <dgm:cxn modelId="{84EC5389-8E73-4C98-B93B-7795C4E0328F}" type="presParOf" srcId="{A9A8194A-DE39-4986-8F2B-7EF6A7E2B79F}" destId="{19F5DA2C-6362-4326-8B59-814FE07417F2}" srcOrd="0" destOrd="0" presId="urn:microsoft.com/office/officeart/2005/8/layout/hProcess4"/>
    <dgm:cxn modelId="{36053BE7-D102-458B-8C8E-690153337AE1}" type="presParOf" srcId="{A9A8194A-DE39-4986-8F2B-7EF6A7E2B79F}" destId="{F3C7723E-2102-4B11-B3C0-B45A050A3DC5}" srcOrd="1" destOrd="0" presId="urn:microsoft.com/office/officeart/2005/8/layout/hProcess4"/>
    <dgm:cxn modelId="{D860D2BE-01E1-46FD-9B0E-4E32D360F5AD}" type="presParOf" srcId="{A9A8194A-DE39-4986-8F2B-7EF6A7E2B79F}" destId="{AC06D17E-AF9E-4E09-90F1-E2107656F955}" srcOrd="2" destOrd="0" presId="urn:microsoft.com/office/officeart/2005/8/layout/hProcess4"/>
    <dgm:cxn modelId="{3173B63B-6324-411C-AA58-8D8F0D2E612F}" type="presParOf" srcId="{A9A8194A-DE39-4986-8F2B-7EF6A7E2B79F}" destId="{AD7B4F2F-7417-4730-B57C-DF576BA9F8FC}" srcOrd="3" destOrd="0" presId="urn:microsoft.com/office/officeart/2005/8/layout/hProcess4"/>
    <dgm:cxn modelId="{CB8062FB-7E50-47F6-8246-80679185F99B}" type="presParOf" srcId="{A9A8194A-DE39-4986-8F2B-7EF6A7E2B79F}" destId="{F54B8074-D137-486A-BA61-35DACE8CA649}" srcOrd="4" destOrd="0" presId="urn:microsoft.com/office/officeart/2005/8/layout/hProcess4"/>
    <dgm:cxn modelId="{037E208F-FDF1-473E-AC31-8B1AAFBD10C5}" type="presParOf" srcId="{5B636EF5-A748-4A31-BE9E-E5D4D1FF07A1}" destId="{82BB10BA-DFEB-45CC-9D7E-95E0CC628999}" srcOrd="3" destOrd="0" presId="urn:microsoft.com/office/officeart/2005/8/layout/hProcess4"/>
    <dgm:cxn modelId="{5082E49C-3F03-4A16-844B-1B0AF2246565}" type="presParOf" srcId="{5B636EF5-A748-4A31-BE9E-E5D4D1FF07A1}" destId="{E9439EA4-EADA-46BD-BC30-AD547EBE7975}" srcOrd="4" destOrd="0" presId="urn:microsoft.com/office/officeart/2005/8/layout/hProcess4"/>
    <dgm:cxn modelId="{836DD8F3-4BAD-4149-A024-046AFF36A932}" type="presParOf" srcId="{E9439EA4-EADA-46BD-BC30-AD547EBE7975}" destId="{369AE549-9CD7-42CA-9499-F179873471DE}" srcOrd="0" destOrd="0" presId="urn:microsoft.com/office/officeart/2005/8/layout/hProcess4"/>
    <dgm:cxn modelId="{5C427361-86B3-41FF-A552-B5568526AFB5}" type="presParOf" srcId="{E9439EA4-EADA-46BD-BC30-AD547EBE7975}" destId="{50C698D7-647A-4B9D-BDC4-A1118A552193}" srcOrd="1" destOrd="0" presId="urn:microsoft.com/office/officeart/2005/8/layout/hProcess4"/>
    <dgm:cxn modelId="{62EA1B2A-214A-4924-9F91-952083F0E6ED}" type="presParOf" srcId="{E9439EA4-EADA-46BD-BC30-AD547EBE7975}" destId="{738AC32D-C946-4E74-BC22-7950303EB21A}" srcOrd="2" destOrd="0" presId="urn:microsoft.com/office/officeart/2005/8/layout/hProcess4"/>
    <dgm:cxn modelId="{BC40E30B-C83E-4710-AB40-ABC884B87703}" type="presParOf" srcId="{E9439EA4-EADA-46BD-BC30-AD547EBE7975}" destId="{F9925D7F-8F16-4CAD-8C08-40850F33DE77}" srcOrd="3" destOrd="0" presId="urn:microsoft.com/office/officeart/2005/8/layout/hProcess4"/>
    <dgm:cxn modelId="{149C3B5A-D562-4641-8AF7-9A61BBC1608A}" type="presParOf" srcId="{E9439EA4-EADA-46BD-BC30-AD547EBE7975}" destId="{E3136099-93CE-408E-9E9B-E15642F268D1}" srcOrd="4" destOrd="0" presId="urn:microsoft.com/office/officeart/2005/8/layout/hProcess4"/>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AF98C1-C1F3-4E8F-9F4D-1FBFD7A8FE07}">
      <dsp:nvSpPr>
        <dsp:cNvPr id="0" name=""/>
        <dsp:cNvSpPr/>
      </dsp:nvSpPr>
      <dsp:spPr>
        <a:xfrm>
          <a:off x="65807" y="633450"/>
          <a:ext cx="1475790" cy="121721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ctr" defTabSz="533400">
            <a:lnSpc>
              <a:spcPct val="90000"/>
            </a:lnSpc>
            <a:spcBef>
              <a:spcPct val="0"/>
            </a:spcBef>
            <a:spcAft>
              <a:spcPct val="15000"/>
            </a:spcAft>
            <a:buChar char="••"/>
          </a:pPr>
          <a:r>
            <a:rPr lang="es-MX" sz="1200" kern="1200" dirty="0" smtClean="0"/>
            <a:t>Criterios para la determinación los programas y/o acciones</a:t>
          </a:r>
          <a:endParaRPr lang="es-MX" sz="1200" kern="1200" dirty="0"/>
        </a:p>
      </dsp:txBody>
      <dsp:txXfrm>
        <a:off x="65807" y="633450"/>
        <a:ext cx="1475790" cy="956386"/>
      </dsp:txXfrm>
    </dsp:sp>
    <dsp:sp modelId="{6699BAA6-D78D-482C-8A15-5B7C07CF1BAE}">
      <dsp:nvSpPr>
        <dsp:cNvPr id="0" name=""/>
        <dsp:cNvSpPr/>
      </dsp:nvSpPr>
      <dsp:spPr>
        <a:xfrm>
          <a:off x="884230" y="884089"/>
          <a:ext cx="1685528" cy="1685528"/>
        </a:xfrm>
        <a:prstGeom prst="leftCircularArrow">
          <a:avLst>
            <a:gd name="adj1" fmla="val 3496"/>
            <a:gd name="adj2" fmla="val 433742"/>
            <a:gd name="adj3" fmla="val 2209253"/>
            <a:gd name="adj4" fmla="val 9024489"/>
            <a:gd name="adj5" fmla="val 4079"/>
          </a:avLst>
        </a:prstGeom>
        <a:solidFill>
          <a:schemeClr val="accent2">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99B81F7-4DB9-4466-8A97-CBC39F1AD773}">
      <dsp:nvSpPr>
        <dsp:cNvPr id="0" name=""/>
        <dsp:cNvSpPr/>
      </dsp:nvSpPr>
      <dsp:spPr>
        <a:xfrm>
          <a:off x="782398" y="1589836"/>
          <a:ext cx="534538" cy="52166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s-MX" sz="2200" kern="1200" dirty="0" smtClean="0"/>
            <a:t>1</a:t>
          </a:r>
          <a:endParaRPr lang="es-MX" sz="2200" kern="1200" dirty="0"/>
        </a:p>
      </dsp:txBody>
      <dsp:txXfrm>
        <a:off x="782398" y="1589836"/>
        <a:ext cx="534538" cy="521665"/>
      </dsp:txXfrm>
    </dsp:sp>
    <dsp:sp modelId="{F3C7723E-2102-4B11-B3C0-B45A050A3DC5}">
      <dsp:nvSpPr>
        <dsp:cNvPr id="0" name=""/>
        <dsp:cNvSpPr/>
      </dsp:nvSpPr>
      <dsp:spPr>
        <a:xfrm>
          <a:off x="1986181" y="633450"/>
          <a:ext cx="1475790" cy="121721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ctr" defTabSz="533400">
            <a:lnSpc>
              <a:spcPct val="90000"/>
            </a:lnSpc>
            <a:spcBef>
              <a:spcPct val="0"/>
            </a:spcBef>
            <a:spcAft>
              <a:spcPct val="15000"/>
            </a:spcAft>
            <a:buChar char="••"/>
          </a:pPr>
          <a:r>
            <a:rPr lang="es-MX" sz="1200" kern="1200" dirty="0" smtClean="0"/>
            <a:t>Disposiciones para la generación, recopilación y procesamiento de la información</a:t>
          </a:r>
          <a:endParaRPr lang="es-MX" sz="1200" kern="1200" dirty="0"/>
        </a:p>
      </dsp:txBody>
      <dsp:txXfrm>
        <a:off x="1986181" y="894283"/>
        <a:ext cx="1475790" cy="956386"/>
      </dsp:txXfrm>
    </dsp:sp>
    <dsp:sp modelId="{82BB10BA-DFEB-45CC-9D7E-95E0CC628999}">
      <dsp:nvSpPr>
        <dsp:cNvPr id="0" name=""/>
        <dsp:cNvSpPr/>
      </dsp:nvSpPr>
      <dsp:spPr>
        <a:xfrm>
          <a:off x="2792306" y="-133224"/>
          <a:ext cx="1874101" cy="1874101"/>
        </a:xfrm>
        <a:prstGeom prst="circularArrow">
          <a:avLst>
            <a:gd name="adj1" fmla="val 3144"/>
            <a:gd name="adj2" fmla="val 386855"/>
            <a:gd name="adj3" fmla="val 19437634"/>
            <a:gd name="adj4" fmla="val 12575511"/>
            <a:gd name="adj5" fmla="val 3668"/>
          </a:avLst>
        </a:prstGeom>
        <a:solidFill>
          <a:schemeClr val="accent2">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D7B4F2F-7417-4730-B57C-DF576BA9F8FC}">
      <dsp:nvSpPr>
        <dsp:cNvPr id="0" name=""/>
        <dsp:cNvSpPr/>
      </dsp:nvSpPr>
      <dsp:spPr>
        <a:xfrm>
          <a:off x="2686440" y="372618"/>
          <a:ext cx="567202" cy="52166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s-MX" sz="2200" kern="1200" dirty="0" smtClean="0"/>
            <a:t>2</a:t>
          </a:r>
          <a:endParaRPr lang="es-MX" sz="2200" kern="1200" dirty="0"/>
        </a:p>
      </dsp:txBody>
      <dsp:txXfrm>
        <a:off x="2686440" y="372618"/>
        <a:ext cx="567202" cy="521665"/>
      </dsp:txXfrm>
    </dsp:sp>
    <dsp:sp modelId="{50C698D7-647A-4B9D-BDC4-A1118A552193}">
      <dsp:nvSpPr>
        <dsp:cNvPr id="0" name=""/>
        <dsp:cNvSpPr/>
      </dsp:nvSpPr>
      <dsp:spPr>
        <a:xfrm>
          <a:off x="3906555" y="633450"/>
          <a:ext cx="1475790" cy="121721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ctr" defTabSz="533400">
            <a:lnSpc>
              <a:spcPct val="90000"/>
            </a:lnSpc>
            <a:spcBef>
              <a:spcPct val="0"/>
            </a:spcBef>
            <a:spcAft>
              <a:spcPct val="15000"/>
            </a:spcAft>
            <a:buChar char="••"/>
          </a:pPr>
          <a:r>
            <a:rPr lang="es-ES" sz="1200" kern="1200" dirty="0" smtClean="0"/>
            <a:t>Periodicidad para la entrega y reporte de la información</a:t>
          </a:r>
          <a:endParaRPr lang="es-MX" sz="1200" kern="1200" dirty="0"/>
        </a:p>
      </dsp:txBody>
      <dsp:txXfrm>
        <a:off x="3906555" y="633450"/>
        <a:ext cx="1475790" cy="956386"/>
      </dsp:txXfrm>
    </dsp:sp>
    <dsp:sp modelId="{F9925D7F-8F16-4CAD-8C08-40850F33DE77}">
      <dsp:nvSpPr>
        <dsp:cNvPr id="0" name=""/>
        <dsp:cNvSpPr/>
      </dsp:nvSpPr>
      <dsp:spPr>
        <a:xfrm>
          <a:off x="4590482" y="1589836"/>
          <a:ext cx="599866" cy="52166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s-MX" sz="2200" kern="1200" dirty="0" smtClean="0"/>
            <a:t>3</a:t>
          </a:r>
          <a:endParaRPr lang="es-MX" sz="2200" kern="1200" dirty="0"/>
        </a:p>
      </dsp:txBody>
      <dsp:txXfrm>
        <a:off x="4590482" y="1589836"/>
        <a:ext cx="599866" cy="52166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B3574-FF4C-481E-A948-014261E7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1852</Words>
  <Characters>10190</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dc:creator>
  <cp:lastModifiedBy>robertoc</cp:lastModifiedBy>
  <cp:revision>2</cp:revision>
  <dcterms:created xsi:type="dcterms:W3CDTF">2015-04-13T19:10:00Z</dcterms:created>
  <dcterms:modified xsi:type="dcterms:W3CDTF">2015-04-13T19:10:00Z</dcterms:modified>
</cp:coreProperties>
</file>